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rFonts w:ascii="Calibri" w:cs="Calibri" w:hAnsi="Calibri"/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hAnsi="Calibri"/>
          <w:sz w:val="20"/>
          <w:szCs w:val="20"/>
          <w:u w:val="single"/>
        </w:rPr>
        <w:t xml:space="preserve">Tabel 1. Overzicht van diagnostische criteria. </w:t>
      </w:r>
    </w:p>
    <w:tbl>
      <w:tblPr>
        <w:jc w:val="left"/>
        <w:tblInd w:type="dxa" w:w="-108"/>
        <w:tblBorders/>
      </w:tblPr>
      <w:tblGrid>
        <w:gridCol w:w="1525"/>
        <w:gridCol w:w="1559"/>
        <w:gridCol w:w="1559"/>
        <w:gridCol w:w="4357"/>
      </w:tblGrid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Hyperglc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HHS</w:t>
            </w:r>
          </w:p>
        </w:tc>
        <w:tc>
          <w:tcPr>
            <w:tcW w:type="dxa" w:w="4357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Ketoacidose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Mild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Ernstig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Zeer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 xml:space="preserve">Glucose 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 15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 30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 15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 15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 15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pH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&gt;7.30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&gt;7.30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7.25-7.30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7.00-7.25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&lt;7.0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bic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&gt;15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&gt;15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15-18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10-15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&lt;10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ketonen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+ of -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+ of -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+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+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+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AG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Variabel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Variabel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&gt;10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&gt;12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&gt;12</w:t>
            </w:r>
          </w:p>
        </w:tc>
      </w:tr>
      <w:tr>
        <w:trPr>
          <w:cantSplit w:val="false"/>
        </w:trPr>
        <w:tc>
          <w:tcPr>
            <w:tcW w:type="dxa" w:w="15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osm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&lt;320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&gt;320</w:t>
            </w:r>
          </w:p>
        </w:tc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Variabel</w:t>
            </w:r>
          </w:p>
        </w:tc>
        <w:tc>
          <w:tcPr>
            <w:tcW w:type="dxa" w:w="14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Variabel</w:t>
            </w:r>
          </w:p>
        </w:tc>
        <w:tc>
          <w:tcPr>
            <w:tcW w:type="dxa" w:w="152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hAnsi="Calibri"/>
                <w:sz w:val="20"/>
                <w:szCs w:val="20"/>
              </w:rPr>
              <w:t>Variabel</w:t>
            </w:r>
          </w:p>
        </w:tc>
      </w:tr>
    </w:tbl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  <w:t xml:space="preserve">DIAGNOSTIEK: </w:t>
        <w:br/>
      </w:r>
      <w:r>
        <w:rPr>
          <w:rFonts w:ascii="Calibri" w:cs="Calibri" w:hAnsi="Calibri"/>
          <w:bCs/>
          <w:sz w:val="20"/>
          <w:szCs w:val="20"/>
        </w:rPr>
        <w:t>1. Achterhalen van de oorzaak van de ontregeling (infectie, myocardinfarct, alcohol, intoxicatie, etc.)</w:t>
        <w:br/>
        <w:t xml:space="preserve">2. Aard en ernst van de ontregeling (zie diagnostische criteria, tabel 1). </w:t>
      </w:r>
    </w:p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  <w:t>(HETERO-)ANAMNESE:</w:t>
        <w:br/>
      </w:r>
      <w:r>
        <w:rPr>
          <w:rFonts w:ascii="Calibri" w:cs="Calibri" w:hAnsi="Calibri"/>
          <w:bCs/>
          <w:sz w:val="20"/>
          <w:szCs w:val="20"/>
        </w:rPr>
        <w:t>infectie</w:t>
      </w:r>
    </w:p>
    <w:p>
      <w:pPr>
        <w:pStyle w:val="style0"/>
        <w:spacing w:after="0" w:before="0"/>
      </w:pPr>
      <w:r>
        <w:rPr>
          <w:rFonts w:ascii="Calibri" w:cs="Calibri" w:hAnsi="Calibri"/>
          <w:bCs/>
          <w:sz w:val="20"/>
          <w:szCs w:val="20"/>
        </w:rPr>
        <w:t>onvoldoende insulinegebruik/non-compliance/onwerkzame pomp</w:t>
      </w:r>
    </w:p>
    <w:p>
      <w:pPr>
        <w:pStyle w:val="style0"/>
        <w:spacing w:after="0" w:before="0"/>
      </w:pPr>
      <w:r>
        <w:rPr>
          <w:rFonts w:ascii="Calibri" w:cs="Calibri" w:hAnsi="Calibri"/>
          <w:bCs/>
          <w:sz w:val="20"/>
          <w:szCs w:val="20"/>
        </w:rPr>
        <w:t>cardiovasculaire pathologie</w:t>
      </w:r>
    </w:p>
    <w:p>
      <w:pPr>
        <w:pStyle w:val="style0"/>
        <w:spacing w:after="0" w:before="0"/>
      </w:pPr>
      <w:r>
        <w:rPr>
          <w:rFonts w:ascii="Calibri" w:cs="Calibri" w:hAnsi="Calibri"/>
          <w:bCs/>
          <w:sz w:val="20"/>
          <w:szCs w:val="20"/>
        </w:rPr>
        <w:t>corticosteroïdengebruik</w:t>
      </w:r>
    </w:p>
    <w:p>
      <w:pPr>
        <w:pStyle w:val="style0"/>
        <w:spacing w:after="0" w:before="0"/>
      </w:pPr>
      <w:r>
        <w:rPr>
          <w:rFonts w:ascii="Calibri" w:cs="Calibri" w:hAnsi="Calibri"/>
          <w:bCs/>
          <w:sz w:val="20"/>
          <w:szCs w:val="20"/>
        </w:rPr>
        <w:t>vitamine-B1 deficiëntie</w:t>
      </w:r>
    </w:p>
    <w:p>
      <w:pPr>
        <w:pStyle w:val="style0"/>
        <w:spacing w:after="0" w:before="0"/>
      </w:pPr>
      <w:r>
        <w:rPr>
          <w:rFonts w:ascii="Calibri" w:cs="Calibri" w:hAnsi="Calibri"/>
          <w:bCs/>
          <w:sz w:val="20"/>
          <w:szCs w:val="20"/>
        </w:rPr>
        <w:t>(thiazide-)diureticagebruik</w:t>
      </w:r>
    </w:p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hAnsi="Calibri"/>
          <w:b/>
          <w:bCs/>
          <w:sz w:val="20"/>
          <w:szCs w:val="20"/>
        </w:rPr>
        <w:t>LICHAMELIJK ONDERZOEK:</w:t>
        <w:br/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uitdroging?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meningeale prikkeling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neurologische uitval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maagretentie/dilatatie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blaasretentie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spuitinfiltraten?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b/>
          <w:color w:val="2A2A2A"/>
          <w:sz w:val="20"/>
          <w:szCs w:val="20"/>
          <w:lang w:eastAsia="nl-NL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b/>
          <w:color w:val="2A2A2A"/>
          <w:sz w:val="20"/>
          <w:szCs w:val="20"/>
          <w:lang w:eastAsia="nl-NL"/>
        </w:rPr>
        <w:t xml:space="preserve">DIAGNOSTIEK: </w:t>
      </w:r>
    </w:p>
    <w:p>
      <w:pPr>
        <w:pStyle w:val="style31"/>
        <w:numPr>
          <w:ilvl w:val="0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Laboratoriumonderzoek:</w:t>
      </w:r>
    </w:p>
    <w:p>
      <w:pPr>
        <w:pStyle w:val="style31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ureum, Cl, fosfaat</w:t>
      </w:r>
    </w:p>
    <w:p>
      <w:pPr>
        <w:pStyle w:val="style31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op indicatie: </w:t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CK-MB, Troponine T, Mg, osmolaliteit.</w:t>
      </w:r>
    </w:p>
    <w:p>
      <w:pPr>
        <w:pStyle w:val="style31"/>
        <w:numPr>
          <w:ilvl w:val="0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Arteriëel bloedgas</w:t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: Incl elektrolyten enlactaat.</w:t>
      </w:r>
    </w:p>
    <w:p>
      <w:pPr>
        <w:pStyle w:val="style31"/>
        <w:numPr>
          <w:ilvl w:val="1"/>
          <w:numId w:val="1"/>
        </w:numPr>
        <w:spacing w:after="0" w:before="0"/>
      </w:pPr>
      <w:r>
        <w:rPr>
          <w:rFonts w:ascii="Calibri" w:cs="Calibri" w:eastAsia="Times New Roman" w:hAnsi="Calibri"/>
          <w:sz w:val="20"/>
          <w:szCs w:val="20"/>
          <w:lang w:eastAsia="nl-NL"/>
        </w:rPr>
        <w:t>[Na] –([Cl] + [ HCO3]) (normaal zonder kalium 8±3)</w:t>
      </w:r>
    </w:p>
    <w:p>
      <w:pPr>
        <w:pStyle w:val="style31"/>
        <w:numPr>
          <w:ilvl w:val="1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Bereken effectieve serumosmolariteit:</w:t>
      </w:r>
    </w:p>
    <w:p>
      <w:pPr>
        <w:pStyle w:val="style31"/>
        <w:numPr>
          <w:ilvl w:val="2"/>
          <w:numId w:val="5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2 x [Na] + 2 x [K] + [glucose]</w:t>
      </w:r>
    </w:p>
    <w:p>
      <w:pPr>
        <w:pStyle w:val="style31"/>
        <w:numPr>
          <w:ilvl w:val="2"/>
          <w:numId w:val="5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Posmol gemeten – ureum.</w:t>
      </w:r>
    </w:p>
    <w:p>
      <w:pPr>
        <w:pStyle w:val="style31"/>
        <w:numPr>
          <w:ilvl w:val="0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Urine</w:t>
      </w: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:</w:t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 glucose, ketonen (de dipstick toont alleen aceton en acetoacetaat aan, geen ß-hydroxyboterzuur), eiwit, sediment. </w:t>
      </w:r>
    </w:p>
    <w:p>
      <w:pPr>
        <w:pStyle w:val="style31"/>
        <w:numPr>
          <w:ilvl w:val="0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X-thorax</w:t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: infiltraat? </w:t>
      </w:r>
    </w:p>
    <w:p>
      <w:pPr>
        <w:pStyle w:val="style31"/>
        <w:numPr>
          <w:ilvl w:val="0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ECG</w:t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: Infarct? Hartritmestoornissen? Verlengde QT-tijd (denk aan hypomagnesiemie), </w:t>
      </w:r>
    </w:p>
    <w:p>
      <w:pPr>
        <w:pStyle w:val="style31"/>
        <w:numPr>
          <w:ilvl w:val="0"/>
          <w:numId w:val="1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Op indicatie: Bloedkweken, urinekweken afnemen.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b/>
          <w:color w:val="2A2A2A"/>
          <w:sz w:val="20"/>
          <w:szCs w:val="20"/>
          <w:lang w:eastAsia="nl-NL"/>
        </w:rPr>
      </w:r>
    </w:p>
    <w:p>
      <w:pPr>
        <w:pStyle w:val="style31"/>
        <w:numPr>
          <w:ilvl w:val="0"/>
          <w:numId w:val="2"/>
        </w:numPr>
        <w:spacing w:after="0" w:before="0"/>
      </w:pPr>
      <w:r>
        <w:rPr>
          <w:rFonts w:ascii="Calibri" w:cs="Calibri" w:eastAsia="Times New Roman" w:hAnsi="Calibri"/>
          <w:b/>
          <w:color w:val="2A2A2A"/>
          <w:sz w:val="20"/>
          <w:szCs w:val="20"/>
          <w:lang w:eastAsia="nl-NL"/>
        </w:rPr>
        <w:t>Vocht: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Bij hypotensie, DKA en HHS start met 1 liter NaCL 0,9% in 1 uur. Geef daarna NaCl 0,9% met een snelheid van 0.5-1.0 L per uur. 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Bij alle andere varianten van hyperglykemie:</w:t>
      </w:r>
      <w:r>
        <w:rPr>
          <w:sz w:val="20"/>
          <w:szCs w:val="20"/>
        </w:rPr>
        <w:t xml:space="preserve"> </w:t>
      </w: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start met 1 liter NaCL 0,9% in 1 uur en daarna hyperhydratie 3 liter/24 uur (tenzij er aanwijzingen zijn voor overvulling, dan overleg met internist)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Bij plasma Na &gt; 155 mmol/l (gecorrigeerd voor glucose): 0,9% NaCl vervangen door 0,65% NaCl </w:t>
      </w:r>
    </w:p>
    <w:p>
      <w:pPr>
        <w:pStyle w:val="style31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</w:r>
    </w:p>
    <w:p>
      <w:pPr>
        <w:pStyle w:val="style31"/>
        <w:numPr>
          <w:ilvl w:val="0"/>
          <w:numId w:val="3"/>
        </w:numPr>
        <w:spacing w:after="0" w:before="0"/>
      </w:pPr>
      <w:r>
        <w:rPr>
          <w:rFonts w:ascii="Calibri" w:cs="Calibri" w:eastAsia="Times New Roman" w:hAnsi="Calibri"/>
          <w:b/>
          <w:color w:val="2A2A2A"/>
          <w:sz w:val="20"/>
          <w:szCs w:val="20"/>
          <w:lang w:eastAsia="nl-NL"/>
        </w:rPr>
        <w:t xml:space="preserve">Insuline: 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Start insuline-infusie pas nadat het kalium bekend is en eventuele suppletie gestart is. Cave hypokaliemie. 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Bij niet herstellen of verslechteren van de acidose (pH en bicarbonaat stijgen niet): verdubbel de insulinedosis. 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Staak NOOIT de insulinetoediening (ook niet kortdurend) voordat DKA hersteld is (pH &gt;7,30, bicarbonaat &gt;15 mmol/l). </w:t>
      </w:r>
    </w:p>
    <w:p>
      <w:pPr>
        <w:pStyle w:val="style31"/>
        <w:numPr>
          <w:ilvl w:val="0"/>
          <w:numId w:val="4"/>
        </w:numPr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Eerste 24 uur: bij glucose &lt; 14 mmol/l: verlaag de insulinedosis, en vervang het NaCl-infuus door glucose 5%.</w:t>
      </w:r>
    </w:p>
    <w:p>
      <w:pPr>
        <w:pStyle w:val="style31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  <w:t>Tabel 2. Insulinedosering en toedieningsweg: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u w:val="single"/>
          <w:lang w:eastAsia="nl-NL"/>
        </w:rPr>
      </w:r>
    </w:p>
    <w:tbl>
      <w:tblPr>
        <w:jc w:val="left"/>
        <w:tblInd w:type="dxa" w:w="-108"/>
        <w:tblBorders/>
      </w:tblPr>
      <w:tblGrid>
        <w:gridCol w:w="1145"/>
        <w:gridCol w:w="2789"/>
        <w:gridCol w:w="2693"/>
        <w:gridCol w:w="2654"/>
      </w:tblGrid>
      <w:tr>
        <w:trPr>
          <w:cantSplit w:val="false"/>
        </w:trPr>
        <w:tc>
          <w:tcPr>
            <w:tcW w:type="dxa" w:w="11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</w:r>
          </w:p>
        </w:tc>
        <w:tc>
          <w:tcPr>
            <w:tcW w:type="dxa" w:w="27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Hyperglykemische ontregeling</w:t>
            </w:r>
          </w:p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HHS</w:t>
            </w:r>
          </w:p>
        </w:tc>
        <w:tc>
          <w:tcPr>
            <w:tcW w:type="dxa" w:w="265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DKA</w:t>
            </w:r>
          </w:p>
        </w:tc>
      </w:tr>
      <w:tr>
        <w:trPr>
          <w:cantSplit w:val="false"/>
        </w:trPr>
        <w:tc>
          <w:tcPr>
            <w:tcW w:type="dxa" w:w="11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Criteria</w:t>
            </w:r>
          </w:p>
        </w:tc>
        <w:tc>
          <w:tcPr>
            <w:tcW w:type="dxa" w:w="27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Glucose &gt; 30</w:t>
            </w:r>
          </w:p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sOsm &lt; 320</w:t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Glucose &gt; 30</w:t>
              <w:br/>
              <w:t>sOsm &gt;320</w:t>
            </w:r>
          </w:p>
        </w:tc>
        <w:tc>
          <w:tcPr>
            <w:tcW w:type="dxa" w:w="265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Glucose &gt; 14</w:t>
              <w:br/>
              <w:t>pH &lt; 7.25</w:t>
              <w:br/>
              <w:t>ketonen</w:t>
            </w:r>
          </w:p>
        </w:tc>
      </w:tr>
      <w:tr>
        <w:trPr>
          <w:cantSplit w:val="false"/>
        </w:trPr>
        <w:tc>
          <w:tcPr>
            <w:tcW w:type="dxa" w:w="11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Bolus</w:t>
            </w:r>
          </w:p>
        </w:tc>
        <w:tc>
          <w:tcPr>
            <w:tcW w:type="dxa" w:w="27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 xml:space="preserve">Subcutaan bijspuiten volgens bijspuitschema / </w:t>
            </w:r>
          </w:p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regel van 100*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Geen bolus</w:t>
            </w:r>
          </w:p>
        </w:tc>
        <w:tc>
          <w:tcPr>
            <w:tcW w:type="dxa" w:w="265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Geen bolus</w:t>
              <w:br/>
            </w:r>
          </w:p>
        </w:tc>
      </w:tr>
      <w:tr>
        <w:trPr>
          <w:cantSplit w:val="false"/>
        </w:trPr>
        <w:tc>
          <w:tcPr>
            <w:tcW w:type="dxa" w:w="114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Pomp</w:t>
            </w:r>
          </w:p>
        </w:tc>
        <w:tc>
          <w:tcPr>
            <w:tcW w:type="dxa" w:w="27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Geen pomp.</w:t>
            </w:r>
          </w:p>
        </w:tc>
        <w:tc>
          <w:tcPr>
            <w:tcW w:type="dxa" w:w="269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0.07 EH/kg/u iv.**</w:t>
            </w:r>
          </w:p>
        </w:tc>
        <w:tc>
          <w:tcPr>
            <w:tcW w:type="dxa" w:w="265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Calibri" w:cs="Calibri" w:eastAsia="Times New Roman" w:hAnsi="Calibri"/>
                <w:color w:val="2A2A2A"/>
                <w:sz w:val="20"/>
                <w:szCs w:val="20"/>
                <w:lang w:eastAsia="nl-NL"/>
              </w:rPr>
              <w:t>0.07 of 0.1 E/kg/u iv. ** hoge dosis vanaf &lt;7,1 of sepsis</w:t>
            </w:r>
          </w:p>
        </w:tc>
      </w:tr>
    </w:tbl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*regel van 100: hoeveelheid daling glucose (in mmol/l) bij 1 EH insulline: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100 : totale dagdosering insuline = glucosedaling in mmol/l per 1 EH insuline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Voorbeeld: bij totale dagdosering van 50 EH insuline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100:50 = 2 mmol/l  dus 1 EH insuline zorgt voor 2 mmol/l daling glucose.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** Bij onvoldoende verbetering (&lt; ± 10%/u): Dosering verdubbelen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5. Kalium: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Let op. Bij DKA en HHS is er altijd een intracellulair kaliumtekort. Met insulinetherapie gaat met het glucose ook het K de cel in. K-suppletie is dus meestal nodig, tijdig beginnen!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Start insuline bij K &gt; 3,5 mmol/L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Indien aanvangskalium &lt; 3,3 mmol/L eerst snelle kolf met 30 mmol geven voor start insuline, daarnastart insuline onder suppletie KCL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Bij plasma K 3,3-5,5 mmol/L: voeg 20-30 mmol KCL/ liter infusievloeistof, handhaaf K tussen 4-5 mmol/L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Bij plasma K &gt; 5,5 mmol/L: geen KCL suppletie.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Fosfaat: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Als normaal dan controle a 8 uur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Geen suppletie bij plasmafosfaat &gt; 0,3 mmol/l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Bij plasmafosfosfaat ≤0,3 mmol/l: 20 mmol a 4 uur (toegevoegd aan 1 liter NaCl). 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Een Ampul Addiphos® 2 mmol/ml  van 20 ml = 40 mmol  fosfaat, bevat tevens 30 mmol kalium (CAVE hyperkaliemie)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Bepaal magnesium op indicatie: in geval van ademhalingsdepressie, refractaire hypokaliëmie, hartritmestoornissen of verlengde QT-tijd op ECG, insulineresistentie.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Suppletie: Bij Mg &lt; 0,6 mmol/l suppleren met 20-40 mmol MgSulfaat á 8 uur i.v. (MgS.-ampullen van 10% bevatten 0,4 mmol/ml en ampullen van 20% bevatten 0,8 mmol/ml).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NB Magnesium kan niet tegelijk met fosfaat worden gegeven (fosfaat slaat dan neer).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Bicarbonaat: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toedienen van bicarbonaat heeft geen positief effect. Bij pH&lt;7,0 zijn er echter te weinig gegevens. Daarom: indien na 2 uur behandeling de pH&lt;7,0 dan 500 ml bicarbonaat 1.4% toedienen. 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VERDER BELEID (evt kopiëren naar brief):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Doel behandeling: glucose-daling van 2-4 mmol/l per uur, indien doel niet wordt bereikt dan aanpassen insuline in overleg met dd internist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Behandeling luxerende factor: bijv antibiotic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Indien naar afdeling met HHS of DKA, eerste 24 uur: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labcontrole à 2 uur of op indicatie minder vaak (minimaal à 8 uur):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Bloedgas (kan ook capillair, als stabiel evt alleen veneus bicarbonaat)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Glucose, Na, K, Cl, fosfaat, Mg (op indicatie)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Vochtbalans, bloeddruk, pols, temperatuur à 3 uur  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Indien  glucose &lt; 15: stop NaCl 0.9%, start glucose 5% infuus (zelfde infusiesnelheid)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Niets per os (in ieder geval bij DKA), zo nodig maagsonde in geval van braken of maagretentie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DKA is hersteld wanneer pH &gt;7,30 en bicarbonaat &gt;15 mmol/l is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HHS is hersteld wanneer osmol &lt; 320 mmol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Na herstel van ontregeling : normaal dieet en over op eigen insulineschema.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 xml:space="preserve">Tenminste 1 uur overlap na herstarten sc insuline: na hervatten s.c. insuline (ook middels CSII) mag iv insuline pas worden gestaakt na 1 uur.* 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Fraxiparine 0.3mL 1dd sc bij immobilisatie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Bereken effectieve serumosmolariteit: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2[Na+] + 2[K+] + [glucose]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Posmol gemeten – ureum.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Gecorrigeerde [Na+] = actuele [Na+] + [glucose]/3.5</w:t>
      </w:r>
    </w:p>
    <w:p>
      <w:pPr>
        <w:pStyle w:val="style0"/>
        <w:spacing w:after="0" w:before="0"/>
      </w:pPr>
      <w:r>
        <w:rPr>
          <w:rFonts w:ascii="Calibri" w:cs="Calibri" w:eastAsia="Times New Roman" w:hAnsi="Calibri"/>
          <w:color w:val="2A2A2A"/>
          <w:sz w:val="20"/>
          <w:szCs w:val="20"/>
          <w:lang w:eastAsia="nl-NL"/>
        </w:rPr>
        <w:t>Gecorrigeerde [K+] = actuele [K+] + 0,6 (pH-7,4)</w:t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p>
      <w:pPr>
        <w:pStyle w:val="style0"/>
        <w:spacing w:after="0" w:before="0"/>
      </w:pPr>
      <w:r>
        <w:rPr>
          <w:sz w:val="20"/>
          <w:szCs w:val="20"/>
        </w:rPr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mbria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right"/>
    </w:pPr>
    <w:r>
      <w:rPr>
        <w:sz w:val="20"/>
      </w:rPr>
      <w:t>Protocol Hyperglykemie 2016</w:t>
    </w:r>
  </w:p>
  <w:p>
    <w:pPr>
      <w:pStyle w:val="style37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106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8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8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ind w:hanging="180" w:left="2160"/>
      </w:pPr>
      <w:rPr>
        <w:rFonts w:ascii="Wingdings" w:cs="Wingdings" w:hAnsi="Wingdings" w:hint="default"/>
      </w:r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/>
      <w:tabs>
        <w:tab w:leader="none" w:pos="708" w:val="left"/>
      </w:tabs>
      <w:suppressAutoHyphens w:val="true"/>
      <w:spacing w:after="200" w:before="0"/>
    </w:pPr>
    <w:rPr>
      <w:rFonts w:ascii="Cambria" w:cs="Cambria" w:eastAsia="WenQuanYi Micro Hei" w:hAnsi="Cambria"/>
      <w:color w:val="auto"/>
      <w:sz w:val="24"/>
      <w:szCs w:val="24"/>
      <w:lang w:bidi="ar-SA" w:eastAsia="en-US" w:val="nl-NL"/>
    </w:rPr>
  </w:style>
  <w:style w:styleId="style15" w:type="character">
    <w:name w:val="Default Paragraph Font"/>
    <w:next w:val="style15"/>
    <w:rPr/>
  </w:style>
  <w:style w:styleId="style16" w:type="character">
    <w:name w:val="Sterk accent"/>
    <w:basedOn w:val="style15"/>
    <w:next w:val="style16"/>
    <w:rPr>
      <w:b/>
      <w:bCs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opmerking Char"/>
    <w:basedOn w:val="style15"/>
    <w:next w:val="style18"/>
    <w:rPr>
      <w:sz w:val="20"/>
      <w:szCs w:val="20"/>
    </w:rPr>
  </w:style>
  <w:style w:styleId="style19" w:type="character">
    <w:name w:val="Onderwerp van opmerking Char"/>
    <w:basedOn w:val="style18"/>
    <w:next w:val="style19"/>
    <w:rPr>
      <w:b/>
      <w:bCs/>
      <w:sz w:val="20"/>
      <w:szCs w:val="20"/>
    </w:rPr>
  </w:style>
  <w:style w:styleId="style20" w:type="character">
    <w:name w:val="Ballontekst Char"/>
    <w:basedOn w:val="style15"/>
    <w:next w:val="style20"/>
    <w:rPr>
      <w:rFonts w:ascii="Segoe UI" w:cs="Segoe UI" w:hAnsi="Segoe UI"/>
      <w:sz w:val="18"/>
      <w:szCs w:val="18"/>
    </w:rPr>
  </w:style>
  <w:style w:styleId="style21" w:type="character">
    <w:name w:val="Koptekst Char"/>
    <w:basedOn w:val="style15"/>
    <w:next w:val="style21"/>
    <w:rPr/>
  </w:style>
  <w:style w:styleId="style22" w:type="character">
    <w:name w:val="Voettekst Char"/>
    <w:basedOn w:val="style15"/>
    <w:next w:val="style22"/>
    <w:rPr/>
  </w:style>
  <w:style w:styleId="style23" w:type="character">
    <w:name w:val="ListLabel 1"/>
    <w:next w:val="style23"/>
    <w:rPr>
      <w:rFonts w:cs="Cambria"/>
    </w:rPr>
  </w:style>
  <w:style w:styleId="style24" w:type="character">
    <w:name w:val="ListLabel 2"/>
    <w:next w:val="style24"/>
    <w:rPr>
      <w:sz w:val="20"/>
    </w:rPr>
  </w:style>
  <w:style w:styleId="style25" w:type="character">
    <w:name w:val="ListLabel 3"/>
    <w:next w:val="style25"/>
    <w:rPr>
      <w:rFonts w:cs="Courier New"/>
    </w:rPr>
  </w:style>
  <w:style w:styleId="style26" w:type="paragraph">
    <w:name w:val="Kop"/>
    <w:basedOn w:val="style0"/>
    <w:next w:val="style2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7" w:type="paragraph">
    <w:name w:val="Tekstblok"/>
    <w:basedOn w:val="style0"/>
    <w:next w:val="style27"/>
    <w:pPr>
      <w:spacing w:after="120" w:before="0"/>
    </w:pPr>
    <w:rPr/>
  </w:style>
  <w:style w:styleId="style28" w:type="paragraph">
    <w:name w:val="Lijst"/>
    <w:basedOn w:val="style27"/>
    <w:next w:val="style28"/>
    <w:pPr/>
    <w:rPr>
      <w:rFonts w:cs="Lohit Hindi"/>
    </w:rPr>
  </w:style>
  <w:style w:styleId="style29" w:type="paragraph">
    <w:name w:val="Bijschrift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annotation text"/>
    <w:basedOn w:val="style0"/>
    <w:next w:val="style32"/>
    <w:pPr/>
    <w:rPr>
      <w:sz w:val="20"/>
      <w:szCs w:val="20"/>
    </w:rPr>
  </w:style>
  <w:style w:styleId="style33" w:type="paragraph">
    <w:name w:val="annotation subject"/>
    <w:basedOn w:val="style32"/>
    <w:next w:val="style33"/>
    <w:pPr/>
    <w:rPr>
      <w:b/>
      <w:bCs/>
    </w:rPr>
  </w:style>
  <w:style w:styleId="style34" w:type="paragraph">
    <w:name w:val="Balloon Text"/>
    <w:basedOn w:val="style0"/>
    <w:next w:val="style34"/>
    <w:pPr>
      <w:spacing w:after="0" w:before="0"/>
    </w:pPr>
    <w:rPr>
      <w:rFonts w:ascii="Segoe UI" w:cs="Segoe UI" w:hAnsi="Segoe UI"/>
      <w:sz w:val="18"/>
      <w:szCs w:val="18"/>
    </w:rPr>
  </w:style>
  <w:style w:styleId="style35" w:type="paragraph">
    <w:name w:val="Normal"/>
    <w:next w:val="style35"/>
    <w:pPr>
      <w:widowControl/>
      <w:tabs>
        <w:tab w:leader="none" w:pos="708" w:val="left"/>
      </w:tabs>
      <w:suppressAutoHyphens w:val="true"/>
      <w:spacing w:after="0" w:before="0"/>
    </w:pPr>
    <w:rPr>
      <w:rFonts w:ascii="Calibri" w:cs="Calibri" w:eastAsia="WenQuanYi Micro Hei" w:hAnsi="Calibri"/>
      <w:color w:val="000000"/>
      <w:sz w:val="24"/>
      <w:szCs w:val="24"/>
      <w:lang w:bidi="ar-SA" w:eastAsia="en-US" w:val="nl-NL"/>
    </w:rPr>
  </w:style>
  <w:style w:styleId="style36" w:type="paragraph">
    <w:name w:val="Koptekst"/>
    <w:basedOn w:val="style0"/>
    <w:next w:val="style36"/>
    <w:pPr>
      <w:suppressLineNumbers/>
      <w:tabs>
        <w:tab w:leader="none" w:pos="4536" w:val="center"/>
        <w:tab w:leader="none" w:pos="9072" w:val="right"/>
      </w:tabs>
      <w:spacing w:after="0" w:before="0"/>
    </w:pPr>
    <w:rPr/>
  </w:style>
  <w:style w:styleId="style37" w:type="paragraph">
    <w:name w:val="Voettekst"/>
    <w:basedOn w:val="style0"/>
    <w:next w:val="style37"/>
    <w:pPr>
      <w:suppressLineNumbers/>
      <w:tabs>
        <w:tab w:leader="none" w:pos="4536" w:val="center"/>
        <w:tab w:leader="none" w:pos="9072" w:val="right"/>
      </w:tabs>
      <w:spacing w:after="0" w:before="0"/>
    </w:pPr>
    <w:rPr/>
  </w:style>
  <w:style w:styleId="style38" w:type="paragraph">
    <w:name w:val="Normal (Web)"/>
    <w:basedOn w:val="style0"/>
    <w:next w:val="style38"/>
    <w:pPr>
      <w:spacing w:after="28" w:before="28"/>
    </w:pPr>
    <w:rPr>
      <w:rFonts w:ascii="Times New Roman" w:cs="Times New Roman" w:eastAsia="Times New Roman" w:hAnsi="Times New Roman"/>
      <w:lang w:eastAsia="nl-NL"/>
    </w:rPr>
  </w:style>
  <w:style w:styleId="style39" w:type="paragraph">
    <w:name w:val="Frame-inhoud"/>
    <w:basedOn w:val="style27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2016-10-03T09:07:00.00Z</dcterms:created>
  <dc:creator>Pernille van der Plank</dc:creator>
  <cp:lastModifiedBy>Klooker, Tamira</cp:lastModifiedBy>
  <cp:lastPrinted>2016-10-03T08:16:00.00Z</cp:lastPrinted>
  <dcterms:modified xsi:type="dcterms:W3CDTF">2016-10-03T09:07:00.00Z</dcterms:modified>
  <cp:revision>2</cp:revision>
</cp:coreProperties>
</file>