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Nodus of multinodulair struma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Stap 1. TSH, indien afwijkend: geen </w:t>
      </w:r>
      <w:r>
        <w:rPr/>
        <w:t>FNA (de onderliggende aandoening verklaart het struma, kans op maligniteit verwaarloosbaar)</w:t>
      </w:r>
      <w:r>
        <w:rPr/>
        <w:t>, onderliggende aandoening behandelen.</w:t>
      </w:r>
    </w:p>
    <w:p>
      <w:pPr>
        <w:pStyle w:val="Normal"/>
        <w:rPr/>
      </w:pPr>
      <w:r>
        <w:rPr/>
        <w:t>Stap 2. echo →</w:t>
      </w:r>
      <w:r>
        <w:rPr/>
        <w:t xml:space="preserve"> </w:t>
      </w:r>
      <w:r>
        <w:rPr/>
        <w:t xml:space="preserve">simpele cyste of niet-palpabele nodus </w:t>
      </w:r>
      <w:r>
        <w:rPr/>
        <w:t>plus</w:t>
      </w:r>
      <w:r>
        <w:rPr/>
        <w:t xml:space="preserve"> echografisch kleiner dan 1,5 cm: geruststelling, einde consult.</w:t>
      </w:r>
    </w:p>
    <w:p>
      <w:pPr>
        <w:pStyle w:val="Normal"/>
        <w:rPr/>
      </w:pPr>
      <w:r>
        <w:rPr/>
        <w:t xml:space="preserve">Stap 3. klinisch maligne, dus fixatie aan omgeving, lymfadenopathie, echografisch onscherpe grens of microcalcificaties: geen FNA maar bespreken bij MDO </w:t>
      </w:r>
    </w:p>
    <w:p>
      <w:pPr>
        <w:pStyle w:val="Normal"/>
        <w:rPr/>
      </w:pPr>
      <w:r>
        <w:rPr/>
        <w:t xml:space="preserve">– </w:t>
      </w:r>
      <w:r>
        <w:rPr/>
        <w:t>niet bij: nieuwe heesheid, snelle groei, &gt; 4 cm, onregelmatige vorm, geen halo, hypoechogeen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FNA </w:t>
      </w:r>
    </w:p>
    <w:p>
      <w:pPr>
        <w:pStyle w:val="Normal"/>
        <w:rPr/>
      </w:pPr>
      <w:r>
        <w:rPr>
          <w:b/>
          <w:bCs/>
        </w:rPr>
        <w:tab/>
      </w:r>
      <w:r>
        <w:rPr/>
        <w:t xml:space="preserve">echogeleid </w:t>
      </w:r>
    </w:p>
    <w:p>
      <w:pPr>
        <w:pStyle w:val="Normal"/>
        <w:rPr/>
      </w:pPr>
      <w:r>
        <w:rPr/>
        <w:tab/>
        <w:t>van twee meest afwijkende nodi</w:t>
      </w:r>
    </w:p>
    <w:p>
      <w:pPr>
        <w:pStyle w:val="Normal"/>
        <w:rPr/>
      </w:pPr>
      <w:r>
        <w:rPr/>
        <w:tab/>
        <w:t>Bethesda 1 → 1x herhalen → nog steeds B</w:t>
      </w:r>
      <w:r>
        <w:rPr/>
        <w:t xml:space="preserve">ethesda </w:t>
      </w:r>
      <w:r>
        <w:rPr/>
        <w:t>1 → MDO</w:t>
      </w:r>
    </w:p>
    <w:p>
      <w:pPr>
        <w:pStyle w:val="Normal"/>
        <w:rPr/>
      </w:pPr>
      <w:r>
        <w:rPr/>
        <w:tab/>
        <w:t xml:space="preserve">Bethesda 2 → geruststelling, ontslag, </w:t>
      </w:r>
      <w:r>
        <w:rPr/>
        <w:t>niet herhalen</w:t>
      </w:r>
      <w:r>
        <w:rPr/>
        <w:br/>
        <w:tab/>
        <w:t>Bethesda &gt;2→ MDO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1432560</wp:posOffset>
            </wp:positionH>
            <wp:positionV relativeFrom="paragraph">
              <wp:posOffset>11430</wp:posOffset>
            </wp:positionV>
            <wp:extent cx="3314700" cy="162115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1294130</wp:posOffset>
            </wp:positionH>
            <wp:positionV relativeFrom="paragraph">
              <wp:posOffset>1529080</wp:posOffset>
            </wp:positionV>
            <wp:extent cx="3479165" cy="1930400"/>
            <wp:effectExtent l="0" t="0" r="0" b="0"/>
            <wp:wrapSquare wrapText="largest"/>
            <wp:docPr id="2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65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Incidentaloom CT → conform bovenstaande</w:t>
      </w:r>
    </w:p>
    <w:p>
      <w:pPr>
        <w:pStyle w:val="Normal"/>
        <w:rPr/>
      </w:pPr>
      <w:r>
        <w:rPr/>
        <w:t>Incidentaloom PET-CT → conform bovenstaande maar nooit afzien van FNA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Bij ontslag van controle: </w:t>
      </w:r>
    </w:p>
    <w:p>
      <w:pPr>
        <w:pStyle w:val="Normal"/>
        <w:rPr/>
      </w:pPr>
      <w:r>
        <w:rPr/>
        <w:t xml:space="preserve">– </w:t>
      </w:r>
      <w:r>
        <w:rPr/>
        <w:t xml:space="preserve">advies bij groei </w:t>
      </w:r>
      <w:r>
        <w:rPr/>
        <w:t xml:space="preserve">of klachten </w:t>
      </w:r>
      <w:r>
        <w:rPr/>
        <w:t>opnieuw contact opnemen.</w:t>
      </w:r>
    </w:p>
    <w:p>
      <w:pPr>
        <w:pStyle w:val="Normal"/>
        <w:rPr/>
      </w:pPr>
      <w:r>
        <w:rPr/>
        <w:t xml:space="preserve">– </w:t>
      </w:r>
      <w:r>
        <w:rPr/>
        <w:t>g</w:t>
      </w:r>
      <w:r>
        <w:rPr/>
        <w:t xml:space="preserve">een jaarlijkse TSH of echo hals zoals in Angelsaksische literatuur. </w:t>
      </w:r>
    </w:p>
    <w:p>
      <w:pPr>
        <w:pStyle w:val="Normal"/>
        <w:rPr/>
      </w:pPr>
      <w:r>
        <w:rPr/>
        <w:t>Bij herverwijzing: daadwerkelijke groei &gt;25% → herhaling diagnostiek.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Indicaties therapie</w:t>
      </w:r>
    </w:p>
    <w:p>
      <w:pPr>
        <w:pStyle w:val="Normal"/>
        <w:rPr/>
      </w:pPr>
      <w:r>
        <w:rPr/>
        <w:t>S</w:t>
      </w:r>
      <w:r>
        <w:rPr/>
        <w:t>childklier &lt;100 cc →</w:t>
      </w:r>
      <w:r>
        <w:rPr/>
        <w:t xml:space="preserve"> nooit indicatie therapie indien geen maligniteit</w:t>
      </w:r>
      <w:r>
        <w:rPr/>
        <w:t>.</w:t>
      </w:r>
    </w:p>
    <w:p>
      <w:pPr>
        <w:pStyle w:val="Normal"/>
        <w:rPr/>
      </w:pPr>
      <w:r>
        <w:rPr/>
        <w:t xml:space="preserve">Dyspnoe: </w:t>
      </w:r>
      <w:r>
        <w:rPr/>
        <w:t>CT thorax zonder contrast, bij trachea</w:t>
      </w:r>
      <w:r>
        <w:rPr/>
        <w:t>ver</w:t>
      </w:r>
      <w:r>
        <w:rPr/>
        <w:t>nauwing van 1 cm of meer indicatie therapie.</w:t>
      </w:r>
    </w:p>
    <w:p>
      <w:pPr>
        <w:pStyle w:val="Normal"/>
        <w:rPr/>
      </w:pPr>
      <w:r>
        <w:rPr/>
        <w:t xml:space="preserve">Dysfagie: </w:t>
      </w:r>
      <w:r>
        <w:rPr/>
        <w:t xml:space="preserve">indicatie indien bij i.c.c. </w:t>
      </w:r>
      <w:r>
        <w:rPr/>
        <w:t xml:space="preserve">KNO </w:t>
      </w:r>
      <w:r>
        <w:rPr/>
        <w:t xml:space="preserve">struma </w:t>
      </w:r>
      <w:r>
        <w:rPr/>
        <w:t xml:space="preserve">oorzaak </w:t>
      </w:r>
      <w:r>
        <w:rPr/>
        <w:t>blijkt</w:t>
      </w:r>
      <w:r>
        <w:rPr/>
        <w:t>, niet zelf slikfoto maken.</w:t>
      </w:r>
    </w:p>
    <w:p>
      <w:pPr>
        <w:pStyle w:val="Normal"/>
        <w:rPr/>
      </w:pPr>
      <w:r>
        <w:rPr/>
        <w:t xml:space="preserve">Cosmetische of andere redenen: verwijzing chirurg voor uitleg </w:t>
      </w:r>
      <w:r>
        <w:rPr/>
        <w:t>en overwegingen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Behandeling</w:t>
      </w:r>
      <w:r>
        <w:rPr/>
        <w:t>:</w:t>
      </w:r>
    </w:p>
    <w:p>
      <w:pPr>
        <w:pStyle w:val="Normal"/>
        <w:rPr/>
      </w:pPr>
      <w:r>
        <w:rPr/>
        <w:tab/>
        <w:t xml:space="preserve">keus 1: schildklierchirurgie </w:t>
      </w:r>
      <w:r>
        <w:rPr/>
        <w:t>via MDO</w:t>
      </w:r>
      <w:r>
        <w:rPr/>
        <w:t>.</w:t>
      </w:r>
    </w:p>
    <w:p>
      <w:pPr>
        <w:pStyle w:val="Normal"/>
        <w:rPr/>
      </w:pPr>
      <w:r>
        <w:rPr/>
        <w:tab/>
      </w:r>
      <w:r>
        <w:rPr/>
        <w:t>k</w:t>
      </w:r>
      <w:r>
        <w:rPr/>
        <w:t>eus 2 (bijv. bij matige conditie of weigering door patiënt): radio-actief jodium.</w:t>
      </w:r>
    </w:p>
    <w:p>
      <w:pPr>
        <w:pStyle w:val="Normal"/>
        <w:rPr/>
      </w:pPr>
      <w:r>
        <w:rPr/>
        <w:tab/>
        <w:tab/>
        <w:t>– nadelen: geen PA, slechts +/- 30% V-afname, grote</w:t>
      </w:r>
      <w:r>
        <w:rPr/>
        <w:t>re</w:t>
      </w:r>
      <w:r>
        <w:rPr/>
        <w:t xml:space="preserve"> kans recidief.</w:t>
      </w:r>
    </w:p>
    <w:p>
      <w:pPr>
        <w:pStyle w:val="Normal"/>
        <w:rPr/>
      </w:pPr>
      <w:r>
        <w:rPr/>
        <w:tab/>
        <w:tab/>
        <w:t xml:space="preserve">– </w:t>
      </w:r>
      <w:r>
        <w:rPr/>
        <w:t>niet bij compressie andere organen: geeft tijdelijke toename struma.</w:t>
      </w:r>
    </w:p>
    <w:p>
      <w:pPr>
        <w:pStyle w:val="Normal"/>
        <w:rPr/>
      </w:pPr>
      <w:r>
        <w:rPr/>
        <w:tab/>
        <w:t xml:space="preserve">geen TSH-suppressie: effectiviteit minimaal, </w:t>
      </w:r>
      <w:r>
        <w:rPr/>
        <w:t xml:space="preserve">tevens </w:t>
      </w:r>
      <w:r>
        <w:rPr/>
        <w:t>lange termijn effecten.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Voorlichting chirurgie.</w:t>
      </w:r>
    </w:p>
    <w:p>
      <w:pPr>
        <w:pStyle w:val="Normal"/>
        <w:rPr/>
      </w:pPr>
      <w:r>
        <w:rPr/>
        <w:t xml:space="preserve">Kans op problemen wisselt in literatuur en is afhankelijk van de kwaliteit van de chirurg. </w:t>
      </w:r>
    </w:p>
    <w:p>
      <w:pPr>
        <w:pStyle w:val="Normal"/>
        <w:rPr/>
      </w:pPr>
      <w:r>
        <w:rPr/>
        <w:t>In FZ hoge kwaliteit.</w:t>
      </w:r>
    </w:p>
    <w:p>
      <w:pPr>
        <w:pStyle w:val="Normal"/>
        <w:rPr/>
      </w:pPr>
      <w:r>
        <w:rPr/>
        <w:t>Standaard: bloeding, infectie, seroom.</w:t>
      </w:r>
    </w:p>
    <w:p>
      <w:pPr>
        <w:pStyle w:val="Normal"/>
        <w:rPr/>
      </w:pPr>
      <w:r>
        <w:rPr/>
        <w:t>Specifiek: 2-9% heesheid/recurrenslesie, hypoparathyreoidie 3%, dysfagie 8%.</w:t>
      </w:r>
    </w:p>
    <w:p>
      <w:pPr>
        <w:pStyle w:val="Normal"/>
        <w:rPr/>
      </w:pPr>
      <w:r>
        <w:rPr/>
        <w:t xml:space="preserve">Zeldzaam: dubbelzijdige recurrenslesie (stridor/dyspnoe), trachea- of oesofaguslesie (emfyseem), chyluslekkage, Horner. </w:t>
      </w:r>
    </w:p>
    <w:p>
      <w:pPr>
        <w:pStyle w:val="Normal"/>
        <w:rPr/>
      </w:pPr>
      <w:r>
        <w:rPr/>
        <w:t xml:space="preserve">Tevens uiteraard hypothyreoidie </w:t>
      </w:r>
      <w:r>
        <w:rPr/>
        <w:t>hoewel kans bij hemi laag is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Voorlichting radio-actief jodium.</w:t>
      </w:r>
    </w:p>
    <w:p>
      <w:pPr>
        <w:pStyle w:val="Normal"/>
        <w:rPr/>
      </w:pPr>
      <w:r>
        <w:rPr/>
        <w:t>Complicaties:</w:t>
      </w:r>
    </w:p>
    <w:p>
      <w:pPr>
        <w:pStyle w:val="Normal"/>
        <w:rPr/>
      </w:pPr>
      <w:r>
        <w:rPr/>
        <w:t xml:space="preserve">– </w:t>
      </w:r>
      <w:r>
        <w:rPr/>
        <w:t xml:space="preserve">Kan verergering Graves oftalmopathie geven: niet bij matig actieve Graves’ oftalmopathie. </w:t>
      </w:r>
    </w:p>
    <w:p>
      <w:pPr>
        <w:pStyle w:val="Normal"/>
        <w:rPr/>
      </w:pPr>
      <w:r>
        <w:rPr/>
        <w:t xml:space="preserve">– </w:t>
      </w:r>
      <w:r>
        <w:rPr/>
        <w:t>Uiteraard ook: hypothyreoidie of onvoldoende effect.</w:t>
      </w:r>
    </w:p>
    <w:p>
      <w:pPr>
        <w:pStyle w:val="Normal"/>
        <w:rPr/>
      </w:pPr>
      <w:r>
        <w:rPr/>
        <w:t>Isolatie: 1 tot meer dagen. Daarna +/- 2 weken leefregels.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  <w:sz w:val="32"/>
          <w:szCs w:val="32"/>
        </w:rPr>
        <w:t>Therapie hyperthyreoidie door MNS of Graves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Voorkeur</w:t>
      </w:r>
      <w:r>
        <w:rPr>
          <w:b/>
          <w:bCs/>
        </w:rPr>
        <w:t xml:space="preserve"> 1. block-and-replace, </w:t>
      </w:r>
      <w:r>
        <w:rPr>
          <w:b/>
          <w:bCs/>
        </w:rPr>
        <w:t>in principe alleen indien Graves</w:t>
      </w:r>
    </w:p>
    <w:p>
      <w:pPr>
        <w:pStyle w:val="Normal"/>
        <w:rPr/>
      </w:pPr>
      <w:r>
        <w:rPr/>
        <w:t>Bij Graves kan 1 ronde van jaar (of langer) medicamenteuze therapie overwogen worden.</w:t>
      </w:r>
    </w:p>
    <w:p>
      <w:pPr>
        <w:pStyle w:val="Normal"/>
        <w:rPr/>
      </w:pPr>
      <w:r>
        <w:rPr>
          <w:b w:val="false"/>
          <w:bCs w:val="false"/>
          <w:u w:val="single"/>
        </w:rPr>
        <w:t>Agranulocytose</w:t>
      </w:r>
      <w:r>
        <w:rPr/>
        <w:t>: 0,1 - 0,5%, meestal eerste maanden.</w:t>
      </w:r>
    </w:p>
    <w:p>
      <w:pPr>
        <w:pStyle w:val="Normal"/>
        <w:rPr/>
      </w:pPr>
      <w:r>
        <w:rPr>
          <w:b w:val="false"/>
          <w:bCs w:val="false"/>
          <w:u w:val="single"/>
        </w:rPr>
        <w:t>Hepatotoxiciteit</w:t>
      </w:r>
      <w:r>
        <w:rPr/>
        <w:t>: in 1997 analyse, 49 gevallen van hepatotoxiciteit, geschatte incidentie 1:10.000.</w:t>
      </w:r>
    </w:p>
    <w:p>
      <w:pPr>
        <w:pStyle w:val="Normal"/>
        <w:rPr/>
      </w:pPr>
      <w:r>
        <w:rPr/>
        <w:t>Labcontrole voor beide echter niet zinvol.</w:t>
      </w:r>
    </w:p>
    <w:p>
      <w:pPr>
        <w:pStyle w:val="Normal"/>
        <w:rPr/>
      </w:pPr>
      <w:r>
        <w:rPr/>
        <w:t>Zeldzaam: vasculitis, pancreatitis, insulinoom.</w:t>
      </w:r>
    </w:p>
    <w:p>
      <w:pPr>
        <w:pStyle w:val="Normal"/>
        <w:rPr/>
      </w:pPr>
      <w:r>
        <w:rPr/>
        <w:t>Evt. bij ouderen die geen radio-actief jodium willen/aankunnen vanwege isolatie en leefregels. Dan kan ook monotherapie lage dosis strumazol overwogen worden.</w:t>
      </w:r>
    </w:p>
    <w:p>
      <w:pPr>
        <w:pStyle w:val="Normal"/>
        <w:rPr/>
      </w:pPr>
      <w:r>
        <w:rPr>
          <w:b/>
          <w:bCs/>
        </w:rPr>
        <w:t>Voorkeur</w:t>
      </w:r>
      <w:r>
        <w:rPr>
          <w:b/>
          <w:bCs/>
        </w:rPr>
        <w:t xml:space="preserve"> 2. </w:t>
      </w:r>
      <w:r>
        <w:rPr/>
        <w:t>radio-actief jodium tenzij obstructief struma.</w:t>
      </w:r>
    </w:p>
    <w:p>
      <w:pPr>
        <w:pStyle w:val="Normal"/>
        <w:rPr/>
      </w:pPr>
      <w:r>
        <w:rPr>
          <w:b/>
          <w:bCs/>
        </w:rPr>
        <w:t>Voorkeur</w:t>
      </w:r>
      <w:r>
        <w:rPr>
          <w:b/>
          <w:bCs/>
        </w:rPr>
        <w:t xml:space="preserve"> 3</w:t>
      </w:r>
      <w:r>
        <w:rPr/>
        <w:t>. chirurgie in de praktijk eigenlijk alleen bij</w:t>
      </w:r>
    </w:p>
    <w:p>
      <w:pPr>
        <w:pStyle w:val="Normal"/>
        <w:rPr/>
      </w:pPr>
      <w:r>
        <w:rPr/>
        <w:t xml:space="preserve">– </w:t>
      </w:r>
      <w:r>
        <w:rPr/>
        <w:t>allergie voor thyreostatica plus zwangerschap of weigering patiënt radio-actief jodium</w:t>
      </w:r>
    </w:p>
    <w:p>
      <w:pPr>
        <w:pStyle w:val="Normal"/>
        <w:rPr/>
      </w:pPr>
      <w:r>
        <w:rPr/>
        <w:t xml:space="preserve">– </w:t>
      </w:r>
      <w:r>
        <w:rPr/>
        <w:t>ook verdenking schildkliercarcinoom</w:t>
      </w:r>
    </w:p>
    <w:p>
      <w:pPr>
        <w:pStyle w:val="Normal"/>
        <w:rPr/>
      </w:pPr>
      <w:r>
        <w:rPr/>
        <w:t xml:space="preserve">– </w:t>
      </w:r>
      <w:r>
        <w:rPr/>
        <w:t>ook primaire hyperparathyreoidie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23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nl-N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nl-NL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LibreOffice/5.1.6.2$Linux_X86_64 LibreOffice_project/10m0$Build-2</Application>
  <Pages>2</Pages>
  <Words>434</Words>
  <Characters>2896</Characters>
  <CharactersWithSpaces>3308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2017-11-12T10:15:51Z</dcterms:created>
  <dc:creator/>
  <dc:description/>
  <dc:language>nl-NL</dc:language>
  <cp:lastModifiedBy/>
  <dcterms:modified xsi:type="dcterms:W3CDTF">2017-11-14T18:18:18Z</dcterms:modified>
  <cp:revision>3</cp:revision>
  <dc:subject/>
  <dc:title/>
</cp:coreProperties>
</file>