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5975" w:type="dxa"/>
        <w:jc w:val="left"/>
        <w:tblInd w:w="45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45" w:type="dxa"/>
          <w:left w:w="44" w:type="dxa"/>
          <w:bottom w:w="45" w:type="dxa"/>
          <w:right w:w="45" w:type="dxa"/>
        </w:tblCellMar>
      </w:tblPr>
      <w:tblGrid>
        <w:gridCol w:w="777"/>
        <w:gridCol w:w="1283"/>
        <w:gridCol w:w="1170"/>
        <w:gridCol w:w="1157"/>
        <w:gridCol w:w="1588"/>
      </w:tblGrid>
      <w:tr>
        <w:trPr/>
        <w:tc>
          <w:tcPr>
            <w:tcW w:w="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  <w:vAlign w:val="bottom"/>
          </w:tcPr>
          <w:p>
            <w:pPr>
              <w:pStyle w:val="TableHeading"/>
              <w:jc w:val="left"/>
              <w:rPr/>
            </w:pPr>
            <w:r>
              <w:rPr/>
              <w:t>Points</w:t>
            </w:r>
          </w:p>
        </w:tc>
        <w:tc>
          <w:tcPr>
            <w:tcW w:w="12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  <w:vAlign w:val="bottom"/>
          </w:tcPr>
          <w:p>
            <w:pPr>
              <w:pStyle w:val="TableHeading"/>
              <w:jc w:val="left"/>
              <w:rPr/>
            </w:pPr>
            <w:r>
              <w:rPr/>
              <w:t>Age (years)</w:t>
            </w:r>
          </w:p>
        </w:tc>
        <w:tc>
          <w:tcPr>
            <w:tcW w:w="117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  <w:vAlign w:val="bottom"/>
          </w:tcPr>
          <w:p>
            <w:pPr>
              <w:pStyle w:val="TableHeading"/>
              <w:jc w:val="left"/>
              <w:rPr/>
            </w:pPr>
            <w:r>
              <w:rPr/>
              <w:t>ECOG PS</w:t>
            </w:r>
          </w:p>
        </w:tc>
        <w:tc>
          <w:tcPr>
            <w:tcW w:w="11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  <w:vAlign w:val="bottom"/>
          </w:tcPr>
          <w:p>
            <w:pPr>
              <w:pStyle w:val="TableHeading"/>
              <w:jc w:val="center"/>
              <w:rPr/>
            </w:pPr>
            <w:r>
              <w:rPr/>
              <w:t>LDH/</w:t>
              <w:br/>
              <w:t>ULN</w:t>
            </w:r>
          </w:p>
        </w:tc>
        <w:tc>
          <w:tcPr>
            <w:tcW w:w="1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44" w:type="dxa"/>
            </w:tcMar>
            <w:vAlign w:val="bottom"/>
          </w:tcPr>
          <w:p>
            <w:pPr>
              <w:pStyle w:val="TableHeading"/>
              <w:jc w:val="left"/>
              <w:rPr/>
            </w:pPr>
            <w:r>
              <w:rPr/>
              <w:t>WBC, 10(9)/L</w:t>
            </w:r>
          </w:p>
        </w:tc>
      </w:tr>
      <w:tr>
        <w:trPr/>
        <w:tc>
          <w:tcPr>
            <w:tcW w:w="777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0</w:t>
            </w:r>
          </w:p>
        </w:tc>
        <w:tc>
          <w:tcPr>
            <w:tcW w:w="128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&lt;50</w:t>
            </w:r>
          </w:p>
        </w:tc>
        <w:tc>
          <w:tcPr>
            <w:tcW w:w="1170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0-1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&lt;0.67</w:t>
            </w:r>
          </w:p>
        </w:tc>
        <w:tc>
          <w:tcPr>
            <w:tcW w:w="158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&lt;6.700</w:t>
            </w:r>
          </w:p>
        </w:tc>
      </w:tr>
      <w:tr>
        <w:trPr/>
        <w:tc>
          <w:tcPr>
            <w:tcW w:w="777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</w:t>
            </w:r>
          </w:p>
        </w:tc>
        <w:tc>
          <w:tcPr>
            <w:tcW w:w="128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50-59</w:t>
            </w:r>
          </w:p>
        </w:tc>
        <w:tc>
          <w:tcPr>
            <w:tcW w:w="1170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0.67-0.99</w:t>
            </w:r>
          </w:p>
        </w:tc>
        <w:tc>
          <w:tcPr>
            <w:tcW w:w="158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6.700-9.999</w:t>
            </w:r>
          </w:p>
        </w:tc>
      </w:tr>
      <w:tr>
        <w:trPr/>
        <w:tc>
          <w:tcPr>
            <w:tcW w:w="777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2</w:t>
            </w:r>
          </w:p>
        </w:tc>
        <w:tc>
          <w:tcPr>
            <w:tcW w:w="128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60-69</w:t>
            </w:r>
          </w:p>
        </w:tc>
        <w:tc>
          <w:tcPr>
            <w:tcW w:w="1170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2-4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1.0-1.49</w:t>
            </w:r>
          </w:p>
        </w:tc>
        <w:tc>
          <w:tcPr>
            <w:tcW w:w="158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10.000-14.999</w:t>
            </w:r>
          </w:p>
        </w:tc>
      </w:tr>
      <w:tr>
        <w:trPr/>
        <w:tc>
          <w:tcPr>
            <w:tcW w:w="777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3</w:t>
            </w:r>
          </w:p>
        </w:tc>
        <w:tc>
          <w:tcPr>
            <w:tcW w:w="128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≥</w:t>
            </w:r>
            <w:r>
              <w:rPr/>
              <w:t>70</w:t>
            </w:r>
          </w:p>
        </w:tc>
        <w:tc>
          <w:tcPr>
            <w:tcW w:w="1170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-</w:t>
            </w:r>
          </w:p>
        </w:tc>
        <w:tc>
          <w:tcPr>
            <w:tcW w:w="1157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≥</w:t>
            </w:r>
            <w:r>
              <w:rPr/>
              <w:t>1.5</w:t>
            </w:r>
          </w:p>
        </w:tc>
        <w:tc>
          <w:tcPr>
            <w:tcW w:w="158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4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≥</w:t>
            </w:r>
            <w:r>
              <w:rPr/>
              <w:t>15.000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Patients with </w:t>
      </w:r>
    </w:p>
    <w:p>
      <w:pPr>
        <w:pStyle w:val="Normal"/>
        <w:rPr/>
      </w:pPr>
      <w:r>
        <w:rPr/>
        <w:t xml:space="preserve">0-3 points are classified as low risk, </w:t>
      </w:r>
    </w:p>
    <w:p>
      <w:pPr>
        <w:pStyle w:val="Normal"/>
        <w:rPr/>
      </w:pPr>
      <w:r>
        <w:rPr/>
        <w:t xml:space="preserve">4-5 points are intermediate risk, and </w:t>
      </w:r>
    </w:p>
    <w:p>
      <w:pPr>
        <w:pStyle w:val="Normal"/>
        <w:rPr/>
      </w:pPr>
      <w:r>
        <w:rPr/>
        <w:t>≥</w:t>
      </w:r>
      <w:r>
        <w:rPr/>
        <w:t>6 points are high risk.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Ki-67 </w:t>
      </w:r>
      <w:r>
        <w:rPr/>
        <w:t>&gt;30%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Low / Int = 80% OS 5 jr</w:t>
      </w:r>
    </w:p>
    <w:p>
      <w:pPr>
        <w:pStyle w:val="Normal"/>
        <w:rPr/>
      </w:pPr>
      <w:r>
        <w:rPr/>
        <w:t>High = 40%</w:t>
      </w:r>
    </w:p>
    <w:p>
      <w:pPr>
        <w:pStyle w:val="Normal"/>
        <w:rPr/>
      </w:pPr>
      <w:r>
        <w:rPr/>
      </w:r>
    </w:p>
    <w:p>
      <w:pPr>
        <w:pStyle w:val="Normal"/>
        <w:rPr>
          <w:rFonts w:ascii="serif" w:hAnsi="serif"/>
          <w:sz w:val="20"/>
        </w:rPr>
      </w:pPr>
      <w:r>
        <w:rPr>
          <w:rFonts w:ascii="sans-serif" w:hAnsi="sans-serif"/>
          <w:sz w:val="20"/>
          <w:szCs w:val="20"/>
        </w:rPr>
        <w:t xml:space="preserve">Geisler – </w:t>
      </w:r>
      <w:r>
        <w:rPr>
          <w:rFonts w:ascii="serif" w:hAnsi="serif"/>
          <w:sz w:val="20"/>
          <w:szCs w:val="20"/>
        </w:rPr>
        <w:t>The Mantle Cell Lymphoma International Prognostic Index (MIPI) is superior to the International Prognostic Index (IPI) in predicting survival following intensive first-line immunochemotherapy and autologous stem cell transplantation (ASCT)</w:t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0468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rPr>
          <w:rFonts w:ascii="serif" w:hAnsi="serif"/>
          <w:sz w:val="80"/>
          <w:szCs w:val="2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952500</wp:posOffset>
            </wp:positionV>
            <wp:extent cx="6120130" cy="585660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5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ns-serif" w:hAnsi="sans-serif"/>
          <w:sz w:val="20"/>
          <w:szCs w:val="20"/>
        </w:rPr>
        <w:t>Hoster – A new prognostic index (MIPI) for patients with advanced-stage mantle cell</w:t>
      </w:r>
    </w:p>
    <w:p>
      <w:pPr>
        <w:pStyle w:val="Normal"/>
        <w:rPr>
          <w:sz w:val="20"/>
          <w:szCs w:val="20"/>
        </w:rPr>
      </w:pPr>
      <w:r>
        <w:rPr>
          <w:rFonts w:ascii="serif" w:hAnsi="serif"/>
          <w:sz w:val="20"/>
          <w:szCs w:val="20"/>
        </w:rPr>
        <w:t>lymphoma</w:t>
      </w:r>
    </w:p>
    <w:p>
      <w:pPr>
        <w:pStyle w:val="Normal"/>
        <w:rPr>
          <w:rFonts w:ascii="serif" w:hAnsi="serif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ascii="serif" w:hAnsi="serif"/>
          <w:sz w:val="20"/>
          <w:szCs w:val="20"/>
        </w:rPr>
        <w:t>Geen intensieve therapie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auto"/>
    <w:pitch w:val="default"/>
  </w:font>
  <w:font w:name="serif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nl-N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nl-NL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LibreOffice/5.1.6.2$Linux_X86_64 LibreOffice_project/10m0$Build-2</Application>
  <Pages>2</Pages>
  <Words>108</Words>
  <Characters>580</Characters>
  <CharactersWithSpaces>657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2017-10-07T15:50:30Z</dcterms:created>
  <dc:creator/>
  <dc:description/>
  <dc:language>nl-NL</dc:language>
  <cp:lastModifiedBy/>
  <dcterms:modified xsi:type="dcterms:W3CDTF">2017-10-07T18:43:32Z</dcterms:modified>
  <cp:revision>1</cp:revision>
  <dc:subject/>
  <dc:title/>
</cp:coreProperties>
</file>