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1.wmf" ContentType="image/x-wmf"/>
  <Override PartName="/word/media/image2.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</w:pPr>
      <w:r>
        <w:rPr>
          <w:rFonts w:ascii="Arial" w:cs="Arial" w:eastAsia="Times New Roman" w:hAnsi="Arial"/>
          <w:b/>
          <w:bCs/>
          <w:color w:val="000000"/>
          <w:sz w:val="20"/>
          <w:szCs w:val="20"/>
          <w:lang w:eastAsia="nl-NL" w:val="en-US"/>
        </w:rPr>
        <w:t>Epo/G-CSF in low/int-I risk MDS ** Pre-treatment evaluation</w:t>
      </w:r>
    </w:p>
    <w:p>
      <w:pPr>
        <w:pStyle w:val="style0"/>
        <w:spacing w:after="0" w:before="0"/>
      </w:pPr>
      <w:r>
        <w:rPr>
          <w:rFonts w:ascii="Arial" w:cs="Arial" w:eastAsia="Times New Roman" w:hAnsi="Arial"/>
          <w:bCs/>
          <w:color w:val="000000"/>
          <w:sz w:val="20"/>
          <w:szCs w:val="20"/>
          <w:lang w:eastAsia="nl-NL" w:val="en-US"/>
        </w:rPr>
        <w:t>Indicatie: Hb &lt;6,2 en score 0-1</w:t>
      </w:r>
    </w:p>
    <w:p>
      <w:pPr>
        <w:pStyle w:val="style0"/>
        <w:spacing w:after="0" w:before="0"/>
        <w:ind w:firstLine="708" w:left="0" w:right="0"/>
      </w:pPr>
      <w:r>
        <w:rPr>
          <w:rFonts w:ascii="Arial" w:cs="Arial" w:eastAsia="Times New Roman" w:hAnsi="Arial"/>
          <w:bCs/>
          <w:color w:val="000000"/>
          <w:sz w:val="20"/>
          <w:szCs w:val="20"/>
          <w:lang w:eastAsia="nl-NL" w:val="en-US"/>
        </w:rPr>
        <w:t>transfusion need ≥ 2 U/month:</w:t>
        <w:tab/>
        <w:t>1 pt</w:t>
      </w:r>
    </w:p>
    <w:p>
      <w:pPr>
        <w:pStyle w:val="style0"/>
        <w:spacing w:after="0" w:before="0"/>
        <w:ind w:firstLine="708" w:left="0" w:right="0"/>
      </w:pPr>
      <w:r>
        <w:rPr>
          <w:rFonts w:ascii="Arial" w:cs="Arial" w:eastAsia="Times New Roman" w:hAnsi="Arial"/>
          <w:bCs/>
          <w:color w:val="000000"/>
          <w:sz w:val="20"/>
          <w:szCs w:val="20"/>
          <w:lang w:eastAsia="nl-NL" w:val="en-US"/>
        </w:rPr>
        <w:t xml:space="preserve">serum-Epo ≥ 200 U/liter: </w:t>
        <w:tab/>
        <w:t>1 pt (of 500?)</w:t>
      </w:r>
    </w:p>
    <w:p>
      <w:pPr>
        <w:pStyle w:val="style0"/>
        <w:spacing w:after="0" w:before="0"/>
      </w:pPr>
      <w:r>
        <w:rPr>
          <w:rFonts w:ascii="Arial" w:cs="Arial" w:eastAsia="Times New Roman" w:hAnsi="Arial"/>
          <w:bCs/>
          <w:color w:val="000000"/>
          <w:sz w:val="20"/>
          <w:szCs w:val="20"/>
          <w:lang w:eastAsia="nl-NL" w:val="en-US"/>
        </w:rPr>
        <w:t>predicted response rate: total score 0=74%, 1=23%, 2=7%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>
          <w:rFonts w:ascii="Arial" w:cs="Arial" w:eastAsia="Times New Roman" w:hAnsi="Arial"/>
          <w:bCs/>
          <w:color w:val="000000"/>
          <w:sz w:val="20"/>
          <w:szCs w:val="20"/>
          <w:lang w:eastAsia="nl-NL" w:val="en-US"/>
        </w:rPr>
        <w:t>Epoëtine bèta (Epo; NeoRecormon) sc 30000 IU weekly for 3 months</w:t>
      </w:r>
    </w:p>
    <w:p>
      <w:pPr>
        <w:pStyle w:val="style0"/>
        <w:spacing w:after="0" w:before="0"/>
        <w:ind w:firstLine="708" w:left="0" w:right="0"/>
      </w:pPr>
      <w:r>
        <w:rPr>
          <w:rFonts w:ascii="Arial" w:cs="Arial" w:eastAsia="Times New Roman" w:hAnsi="Arial"/>
          <w:bCs/>
          <w:color w:val="000000"/>
          <w:sz w:val="20"/>
          <w:szCs w:val="20"/>
          <w:lang w:eastAsia="nl-NL" w:val="en-US"/>
        </w:rPr>
        <w:t>after 6 weeks dose escalation of 30000 IU if Hb not +0.6 mmol/l</w:t>
      </w:r>
    </w:p>
    <w:p>
      <w:pPr>
        <w:pStyle w:val="style0"/>
        <w:spacing w:after="0" w:before="0"/>
        <w:ind w:firstLine="708" w:left="0" w:right="0"/>
      </w:pPr>
      <w:r>
        <w:rPr>
          <w:rFonts w:ascii="Arial" w:cs="Arial" w:eastAsia="Times New Roman" w:hAnsi="Arial"/>
          <w:bCs/>
          <w:color w:val="000000"/>
          <w:sz w:val="20"/>
          <w:szCs w:val="20"/>
          <w:lang w:eastAsia="nl-NL" w:val="en-US"/>
        </w:rPr>
        <w:t>after 12 weeks, G-CSF (filgrastim; Neupogen) in combination with Epo</w:t>
      </w:r>
    </w:p>
    <w:p>
      <w:pPr>
        <w:pStyle w:val="style0"/>
        <w:spacing w:after="0" w:before="0"/>
        <w:ind w:firstLine="708" w:left="708" w:right="0"/>
      </w:pPr>
      <w:r>
        <w:rPr>
          <w:rFonts w:ascii="Arial" w:cs="Arial" w:eastAsia="Times New Roman" w:hAnsi="Arial"/>
          <w:bCs/>
          <w:color w:val="000000"/>
          <w:sz w:val="20"/>
          <w:szCs w:val="20"/>
          <w:lang w:eastAsia="nl-NL" w:val="en-US"/>
        </w:rPr>
        <w:t xml:space="preserve">G-CSF 3 times weekly (3x300 </w:t>
      </w:r>
      <w:r>
        <w:rPr>
          <w:rFonts w:ascii="Arial" w:cs="Arial" w:eastAsia="Times New Roman" w:hAnsi="Arial"/>
          <w:bCs/>
          <w:color w:val="000000"/>
          <w:sz w:val="20"/>
          <w:szCs w:val="20"/>
          <w:lang w:eastAsia="nl-NL"/>
        </w:rPr>
        <w:t>μ</w:t>
      </w:r>
      <w:r>
        <w:rPr>
          <w:rFonts w:ascii="Arial" w:cs="Arial" w:eastAsia="Times New Roman" w:hAnsi="Arial"/>
          <w:bCs/>
          <w:color w:val="000000"/>
          <w:sz w:val="20"/>
          <w:szCs w:val="20"/>
          <w:lang w:eastAsia="nl-NL" w:val="en-US"/>
        </w:rPr>
        <w:t xml:space="preserve">g/week sc &lt;75kg; 3x480 </w:t>
      </w:r>
      <w:r>
        <w:rPr>
          <w:rFonts w:ascii="Arial" w:cs="Arial" w:eastAsia="Times New Roman" w:hAnsi="Arial"/>
          <w:bCs/>
          <w:color w:val="000000"/>
          <w:sz w:val="20"/>
          <w:szCs w:val="20"/>
          <w:lang w:eastAsia="nl-NL"/>
        </w:rPr>
        <w:t>μ</w:t>
      </w:r>
      <w:r>
        <w:rPr>
          <w:rFonts w:ascii="Arial" w:cs="Arial" w:eastAsia="Times New Roman" w:hAnsi="Arial"/>
          <w:bCs/>
          <w:color w:val="000000"/>
          <w:sz w:val="20"/>
          <w:szCs w:val="20"/>
          <w:lang w:eastAsia="nl-NL" w:val="en-US"/>
        </w:rPr>
        <w:t>g/week sc &gt;75 kg)`</w:t>
        <w:tab/>
        <w:tab/>
        <w:t>G-CSF interrupted if WBC &gt;30x109/l, restart after normalization of WBC</w:t>
      </w:r>
    </w:p>
    <w:p>
      <w:pPr>
        <w:pStyle w:val="style0"/>
        <w:spacing w:after="0" w:before="0"/>
        <w:ind w:firstLine="708" w:left="708" w:right="0"/>
      </w:pPr>
      <w:r>
        <w:rPr>
          <w:rFonts w:ascii="Arial" w:cs="Arial" w:eastAsia="Times New Roman" w:hAnsi="Arial"/>
          <w:bCs/>
          <w:color w:val="000000"/>
          <w:sz w:val="20"/>
          <w:szCs w:val="20"/>
          <w:lang w:eastAsia="nl-NL" w:val="en-US"/>
        </w:rPr>
        <w:t xml:space="preserve">G-CSF re-started at 300 </w:t>
      </w:r>
      <w:r>
        <w:rPr>
          <w:rFonts w:ascii="Arial" w:cs="Arial" w:eastAsia="Times New Roman" w:hAnsi="Arial"/>
          <w:bCs/>
          <w:color w:val="000000"/>
          <w:sz w:val="20"/>
          <w:szCs w:val="20"/>
          <w:lang w:eastAsia="nl-NL"/>
        </w:rPr>
        <w:t>μ</w:t>
      </w:r>
      <w:r>
        <w:rPr>
          <w:rFonts w:ascii="Arial" w:cs="Arial" w:eastAsia="Times New Roman" w:hAnsi="Arial"/>
          <w:bCs/>
          <w:color w:val="000000"/>
          <w:sz w:val="20"/>
          <w:szCs w:val="20"/>
          <w:lang w:eastAsia="nl-NL" w:val="en-US"/>
        </w:rPr>
        <w:t xml:space="preserve">g once a week, escalated to 2x300 </w:t>
      </w:r>
      <w:r>
        <w:rPr>
          <w:rFonts w:ascii="Arial" w:cs="Arial" w:eastAsia="Times New Roman" w:hAnsi="Arial"/>
          <w:bCs/>
          <w:color w:val="000000"/>
          <w:sz w:val="20"/>
          <w:szCs w:val="20"/>
          <w:lang w:eastAsia="nl-NL"/>
        </w:rPr>
        <w:t>μ</w:t>
      </w:r>
      <w:r>
        <w:rPr>
          <w:rFonts w:ascii="Arial" w:cs="Arial" w:eastAsia="Times New Roman" w:hAnsi="Arial"/>
          <w:bCs/>
          <w:color w:val="000000"/>
          <w:sz w:val="20"/>
          <w:szCs w:val="20"/>
          <w:lang w:eastAsia="nl-NL" w:val="en-US"/>
        </w:rPr>
        <w:t>g/wk in 6 wks</w:t>
      </w:r>
    </w:p>
    <w:p>
      <w:pPr>
        <w:pStyle w:val="style0"/>
        <w:spacing w:after="0" w:before="0"/>
        <w:ind w:firstLine="708" w:left="0" w:right="0"/>
      </w:pPr>
      <w:r>
        <w:rPr>
          <w:rFonts w:ascii="Arial" w:cs="Arial" w:eastAsia="Times New Roman" w:hAnsi="Arial"/>
          <w:bCs/>
          <w:color w:val="000000"/>
          <w:sz w:val="20"/>
          <w:szCs w:val="20"/>
          <w:lang w:eastAsia="nl-NL" w:val="en-US"/>
        </w:rPr>
        <w:t>complete remission (Hb &gt; 6,8 o.a.)</w:t>
      </w:r>
    </w:p>
    <w:p>
      <w:pPr>
        <w:pStyle w:val="style0"/>
        <w:spacing w:after="0" w:before="0"/>
        <w:ind w:firstLine="708" w:left="708" w:right="0"/>
      </w:pPr>
      <w:r>
        <w:rPr>
          <w:rFonts w:ascii="Arial" w:cs="Arial" w:eastAsia="Times New Roman" w:hAnsi="Arial"/>
          <w:bCs/>
          <w:color w:val="000000"/>
          <w:sz w:val="20"/>
          <w:szCs w:val="20"/>
          <w:lang w:eastAsia="nl-NL" w:val="en-US"/>
        </w:rPr>
        <w:t>Epo reduced with 10000 IU/week</w:t>
      </w:r>
    </w:p>
    <w:p>
      <w:pPr>
        <w:pStyle w:val="style0"/>
        <w:spacing w:after="0" w:before="0"/>
        <w:ind w:firstLine="708" w:left="708" w:right="0"/>
      </w:pPr>
      <w:r>
        <w:rPr>
          <w:rFonts w:ascii="Arial" w:cs="Arial" w:eastAsia="Times New Roman" w:hAnsi="Arial"/>
          <w:bCs/>
          <w:color w:val="000000"/>
          <w:sz w:val="20"/>
          <w:szCs w:val="20"/>
          <w:lang w:eastAsia="nl-NL" w:val="en-US"/>
        </w:rPr>
        <w:t>each reduction lasting for 6 weeks</w:t>
      </w:r>
    </w:p>
    <w:p>
      <w:pPr>
        <w:pStyle w:val="style0"/>
        <w:spacing w:after="0" w:before="0"/>
        <w:ind w:firstLine="708" w:left="708" w:right="0"/>
      </w:pPr>
      <w:r>
        <w:rPr/>
      </w:r>
    </w:p>
    <w:p>
      <w:pPr>
        <w:pStyle w:val="style0"/>
        <w:spacing w:after="0" w:before="0"/>
        <w:ind w:firstLine="708" w:left="708" w:right="0"/>
      </w:pPr>
      <w:r>
        <w:rPr>
          <w:rFonts w:ascii="Arial" w:cs="Arial" w:eastAsia="Times New Roman" w:hAnsi="Arial"/>
          <w:bCs/>
          <w:color w:val="000000"/>
          <w:sz w:val="20"/>
          <w:szCs w:val="20"/>
          <w:lang w:eastAsia="nl-NL" w:val="en-US"/>
        </w:rPr>
        <w:t>minimum maintenance dose of 20000 IU/week</w:t>
      </w:r>
    </w:p>
    <w:p>
      <w:pPr>
        <w:pStyle w:val="style0"/>
        <w:spacing w:after="0" w:before="0"/>
      </w:pPr>
      <w:r>
        <w:rPr/>
      </w:r>
    </w:p>
    <w:p>
      <w:pPr>
        <w:pStyle w:val="style0"/>
      </w:pPr>
      <w:r>
        <w:rPr/>
      </w:r>
    </w:p>
    <w:p>
      <w:pPr>
        <w:pStyle w:val="style0"/>
        <w:pageBreakBefore/>
        <w:spacing w:after="0" w:before="0"/>
      </w:pPr>
      <w:r>
        <w:rPr/>
      </w:r>
    </w:p>
    <w:p>
      <w:pPr>
        <w:pStyle w:val="style0"/>
        <w:spacing w:after="0" w:before="0"/>
      </w:pPr>
      <w:r>
        <w:rPr/>
      </w:r>
    </w:p>
    <w:p>
      <w:pPr>
        <w:pStyle w:val="style0"/>
        <w:shd w:fill="FFFFFF" w:val="clear"/>
        <w:spacing w:after="0" w:before="0" w:line="300" w:lineRule="auto"/>
      </w:pPr>
      <w:r>
        <w:rPr>
          <w:rFonts w:ascii="Arial" w:cs="Arial" w:eastAsia="Times New Roman" w:hAnsi="Arial"/>
          <w:b/>
          <w:bCs/>
          <w:color w:val="000000"/>
          <w:sz w:val="20"/>
          <w:szCs w:val="20"/>
          <w:lang w:eastAsia="nl-NL"/>
        </w:rPr>
        <w:t>WHO 2008</w:t>
      </w:r>
    </w:p>
    <w:p>
      <w:pPr>
        <w:pStyle w:val="style0"/>
        <w:shd w:fill="FFFFFF" w:val="clear"/>
        <w:spacing w:after="0" w:before="0" w:line="300" w:lineRule="auto"/>
      </w:pPr>
      <w:r>
        <w:rPr/>
      </w:r>
    </w:p>
    <w:p>
      <w:pPr>
        <w:pStyle w:val="style0"/>
        <w:shd w:fill="FFFFFF" w:val="clear"/>
        <w:spacing w:after="0" w:before="0" w:line="300" w:lineRule="auto"/>
      </w:pPr>
      <w:r>
        <w:rPr/>
        <w:drawing>
          <wp:inline distB="0" distL="0" distR="0" distT="0">
            <wp:extent cx="5731510" cy="498475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8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/>
      </w:r>
    </w:p>
    <w:p>
      <w:pPr>
        <w:pStyle w:val="style0"/>
        <w:pageBreakBefore/>
        <w:shd w:fill="FFFFFF" w:val="clear"/>
        <w:spacing w:after="200" w:before="120" w:line="300" w:lineRule="auto"/>
      </w:pPr>
      <w:r>
        <w:rPr>
          <w:rFonts w:ascii="Arial" w:cs="Arial" w:eastAsia="Times New Roman" w:hAnsi="Arial"/>
          <w:b/>
          <w:bCs/>
          <w:color w:val="000000"/>
          <w:sz w:val="20"/>
          <w:szCs w:val="20"/>
          <w:lang w:eastAsia="nl-NL" w:val="en-US"/>
        </w:rPr>
        <w:t>International Prognostic Scoring System (IPSS) </w:t>
      </w:r>
    </w:p>
    <w:tbl>
      <w:tblPr>
        <w:jc w:val="left"/>
        <w:tblInd w:type="dxa" w:w="-213"/>
        <w:tblBorders>
          <w:top w:color="780508" w:space="0" w:sz="12" w:val="single"/>
          <w:left w:color="780508" w:space="0" w:sz="12" w:val="single"/>
          <w:bottom w:color="780508" w:space="0" w:sz="12" w:val="single"/>
          <w:right w:color="780508" w:space="0" w:sz="12" w:val="single"/>
        </w:tblBorders>
      </w:tblPr>
      <w:tblGrid>
        <w:gridCol w:w="2938"/>
        <w:gridCol w:w="993"/>
        <w:gridCol w:w="1557"/>
        <w:gridCol w:w="991"/>
        <w:gridCol w:w="851"/>
        <w:gridCol w:w="1278"/>
      </w:tblGrid>
      <w:tr>
        <w:trPr>
          <w:cantSplit w:val="false"/>
        </w:trPr>
        <w:tc>
          <w:tcPr>
            <w:tcW w:type="dxa" w:w="2938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Prognostische variabele</w:t>
            </w:r>
          </w:p>
        </w:tc>
        <w:tc>
          <w:tcPr>
            <w:tcW w:type="dxa" w:w="993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score</w:t>
            </w:r>
          </w:p>
        </w:tc>
        <w:tc>
          <w:tcPr>
            <w:tcW w:type="dxa" w:w="1557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type="dxa" w:w="991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type="dxa" w:w="851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type="dxa" w:w="1278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>
        <w:trPr>
          <w:cantSplit w:val="false"/>
        </w:trPr>
        <w:tc>
          <w:tcPr>
            <w:tcW w:type="dxa" w:w="2938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type="dxa" w:w="993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type="dxa" w:w="1557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0.5</w:t>
            </w:r>
          </w:p>
        </w:tc>
        <w:tc>
          <w:tcPr>
            <w:tcW w:type="dxa" w:w="991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1.0</w:t>
            </w:r>
          </w:p>
        </w:tc>
        <w:tc>
          <w:tcPr>
            <w:tcW w:type="dxa" w:w="851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1.5 </w:t>
            </w:r>
          </w:p>
        </w:tc>
        <w:tc>
          <w:tcPr>
            <w:tcW w:type="dxa" w:w="1278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2.0</w:t>
            </w:r>
          </w:p>
        </w:tc>
      </w:tr>
      <w:tr>
        <w:trPr>
          <w:cantSplit w:val="false"/>
        </w:trPr>
        <w:tc>
          <w:tcPr>
            <w:tcW w:type="dxa" w:w="2938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BM blasten (%)</w:t>
            </w:r>
          </w:p>
        </w:tc>
        <w:tc>
          <w:tcPr>
            <w:tcW w:type="dxa" w:w="993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&lt; 5</w:t>
            </w:r>
          </w:p>
        </w:tc>
        <w:tc>
          <w:tcPr>
            <w:tcW w:type="dxa" w:w="1557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5-10 </w:t>
            </w:r>
          </w:p>
        </w:tc>
        <w:tc>
          <w:tcPr>
            <w:tcW w:type="dxa" w:w="991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- </w:t>
            </w:r>
          </w:p>
        </w:tc>
        <w:tc>
          <w:tcPr>
            <w:tcW w:type="dxa" w:w="851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11-20 </w:t>
            </w:r>
          </w:p>
        </w:tc>
        <w:tc>
          <w:tcPr>
            <w:tcW w:type="dxa" w:w="1278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21-30</w:t>
            </w:r>
          </w:p>
        </w:tc>
      </w:tr>
      <w:tr>
        <w:trPr>
          <w:cantSplit w:val="false"/>
        </w:trPr>
        <w:tc>
          <w:tcPr>
            <w:tcW w:type="dxa" w:w="2938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Karyotype*</w:t>
            </w:r>
          </w:p>
        </w:tc>
        <w:tc>
          <w:tcPr>
            <w:tcW w:type="dxa" w:w="993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 </w:t>
            </w: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Goed</w:t>
            </w:r>
          </w:p>
        </w:tc>
        <w:tc>
          <w:tcPr>
            <w:tcW w:type="dxa" w:w="1557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 </w:t>
            </w: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Intermediar</w:t>
            </w:r>
          </w:p>
        </w:tc>
        <w:tc>
          <w:tcPr>
            <w:tcW w:type="dxa" w:w="991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 </w:t>
            </w: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Slecht</w:t>
            </w:r>
          </w:p>
        </w:tc>
        <w:tc>
          <w:tcPr>
            <w:tcW w:type="dxa" w:w="851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type="dxa" w:w="1278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>
        <w:trPr>
          <w:cantSplit w:val="false"/>
        </w:trPr>
        <w:tc>
          <w:tcPr>
            <w:tcW w:type="dxa" w:w="2938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Cytopenieën</w:t>
            </w:r>
          </w:p>
        </w:tc>
        <w:tc>
          <w:tcPr>
            <w:tcW w:type="dxa" w:w="993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 </w:t>
            </w: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0/1</w:t>
            </w:r>
          </w:p>
        </w:tc>
        <w:tc>
          <w:tcPr>
            <w:tcW w:type="dxa" w:w="1557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 </w:t>
            </w: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2/3</w:t>
            </w:r>
          </w:p>
        </w:tc>
        <w:tc>
          <w:tcPr>
            <w:tcW w:type="dxa" w:w="991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type="dxa" w:w="851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type="dxa" w:w="1278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>
      <w:pPr>
        <w:pStyle w:val="style0"/>
        <w:shd w:fill="FFFFFF" w:val="clear"/>
        <w:spacing w:after="200" w:before="120" w:line="300" w:lineRule="auto"/>
      </w:pPr>
      <w:bookmarkStart w:id="0" w:name="__DdeLink__686_2051541682"/>
      <w:bookmarkStart w:id="1" w:name="__DdeLink__686_2051541682"/>
      <w:bookmarkEnd w:id="1"/>
      <w:r>
        <w:rPr/>
      </w:r>
    </w:p>
    <w:tbl>
      <w:tblPr>
        <w:jc w:val="left"/>
        <w:tblInd w:type="dxa" w:w="-213"/>
        <w:tblBorders>
          <w:top w:color="780508" w:space="0" w:sz="12" w:val="single"/>
          <w:left w:color="780508" w:space="0" w:sz="12" w:val="single"/>
          <w:bottom w:color="780508" w:space="0" w:sz="12" w:val="single"/>
          <w:right w:color="780508" w:space="0" w:sz="12" w:val="single"/>
        </w:tblBorders>
      </w:tblPr>
      <w:tblGrid>
        <w:gridCol w:w="1469"/>
        <w:gridCol w:w="919"/>
        <w:gridCol w:w="3154"/>
      </w:tblGrid>
      <w:tr>
        <w:trPr>
          <w:cantSplit w:val="false"/>
        </w:trPr>
        <w:tc>
          <w:tcPr>
            <w:tcW w:type="dxa" w:w="1469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IPSS groep</w:t>
            </w:r>
          </w:p>
        </w:tc>
        <w:tc>
          <w:tcPr>
            <w:tcW w:type="dxa" w:w="919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Score</w:t>
            </w:r>
          </w:p>
        </w:tc>
        <w:tc>
          <w:tcPr>
            <w:tcW w:type="dxa" w:w="3154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Levensverwachting (jr med)</w:t>
            </w:r>
          </w:p>
        </w:tc>
      </w:tr>
      <w:tr>
        <w:trPr>
          <w:cantSplit w:val="false"/>
        </w:trPr>
        <w:tc>
          <w:tcPr>
            <w:tcW w:type="dxa" w:w="1469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Laag</w:t>
            </w:r>
          </w:p>
        </w:tc>
        <w:tc>
          <w:tcPr>
            <w:tcW w:type="dxa" w:w="919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  <w:jc w:val="center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type="dxa" w:w="3154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  <w:jc w:val="center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5.7</w:t>
            </w:r>
          </w:p>
        </w:tc>
      </w:tr>
      <w:tr>
        <w:trPr>
          <w:cantSplit w:val="false"/>
        </w:trPr>
        <w:tc>
          <w:tcPr>
            <w:tcW w:type="dxa" w:w="1469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Int-1</w:t>
            </w:r>
          </w:p>
        </w:tc>
        <w:tc>
          <w:tcPr>
            <w:tcW w:type="dxa" w:w="919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  <w:jc w:val="center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0.5-1.0</w:t>
            </w:r>
          </w:p>
        </w:tc>
        <w:tc>
          <w:tcPr>
            <w:tcW w:type="dxa" w:w="3154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  <w:jc w:val="center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3.5 </w:t>
            </w:r>
          </w:p>
        </w:tc>
      </w:tr>
      <w:tr>
        <w:trPr>
          <w:cantSplit w:val="false"/>
        </w:trPr>
        <w:tc>
          <w:tcPr>
            <w:tcW w:type="dxa" w:w="1469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Int-2</w:t>
            </w:r>
          </w:p>
        </w:tc>
        <w:tc>
          <w:tcPr>
            <w:tcW w:type="dxa" w:w="919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  <w:jc w:val="center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1.5-2.0</w:t>
            </w:r>
          </w:p>
        </w:tc>
        <w:tc>
          <w:tcPr>
            <w:tcW w:type="dxa" w:w="3154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  <w:jc w:val="center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1.2</w:t>
            </w:r>
          </w:p>
        </w:tc>
      </w:tr>
      <w:tr>
        <w:trPr>
          <w:cantSplit w:val="false"/>
        </w:trPr>
        <w:tc>
          <w:tcPr>
            <w:tcW w:type="dxa" w:w="1469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Hoog</w:t>
            </w:r>
          </w:p>
        </w:tc>
        <w:tc>
          <w:tcPr>
            <w:tcW w:type="dxa" w:w="919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  <w:jc w:val="center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&gt;2.0</w:t>
            </w:r>
          </w:p>
        </w:tc>
        <w:tc>
          <w:tcPr>
            <w:tcW w:type="dxa" w:w="3154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  <w:jc w:val="center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0.4</w:t>
            </w:r>
          </w:p>
        </w:tc>
      </w:tr>
    </w:tbl>
    <w:p>
      <w:pPr>
        <w:pStyle w:val="style0"/>
        <w:shd w:fill="FFFFFF" w:val="clear"/>
        <w:spacing w:after="200" w:before="120" w:line="300" w:lineRule="auto"/>
      </w:pPr>
      <w:bookmarkStart w:id="2" w:name="__DdeLink__686_2051541682"/>
      <w:bookmarkStart w:id="3" w:name="__DdeLink__686_2051541682"/>
      <w:bookmarkEnd w:id="3"/>
      <w:r>
        <w:rPr/>
      </w:r>
    </w:p>
    <w:p>
      <w:pPr>
        <w:pStyle w:val="style0"/>
        <w:shd w:fill="FFFFFF" w:val="clear"/>
        <w:spacing w:after="200" w:before="120" w:line="300" w:lineRule="auto"/>
      </w:pPr>
      <w:r>
        <w:rPr>
          <w:rFonts w:ascii="Arial" w:cs="Arial" w:eastAsia="Times New Roman" w:hAnsi="Arial"/>
          <w:b/>
          <w:bCs/>
          <w:color w:val="000000"/>
          <w:sz w:val="20"/>
          <w:szCs w:val="20"/>
          <w:lang w:eastAsia="nl-NL" w:val="en-US"/>
        </w:rPr>
        <w:t>WPSS en WPSS-refined / Malcovati</w:t>
      </w:r>
    </w:p>
    <w:tbl>
      <w:tblPr>
        <w:jc w:val="left"/>
        <w:tblInd w:type="dxa" w:w="-213"/>
        <w:tblBorders>
          <w:top w:color="780508" w:space="0" w:sz="12" w:val="single"/>
          <w:left w:color="780508" w:space="0" w:sz="12" w:val="single"/>
          <w:bottom w:color="780508" w:space="0" w:sz="12" w:val="single"/>
          <w:right w:color="780508" w:space="0" w:sz="12" w:val="single"/>
        </w:tblBorders>
      </w:tblPr>
      <w:tblGrid>
        <w:gridCol w:w="2654"/>
        <w:gridCol w:w="2691"/>
        <w:gridCol w:w="2411"/>
        <w:gridCol w:w="992"/>
        <w:gridCol w:w="996"/>
      </w:tblGrid>
      <w:tr>
        <w:trPr>
          <w:cantSplit w:val="false"/>
        </w:trPr>
        <w:tc>
          <w:tcPr>
            <w:tcW w:type="dxa" w:w="2654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 w:val="en-US"/>
              </w:rPr>
              <w:t> </w:t>
            </w:r>
          </w:p>
        </w:tc>
        <w:tc>
          <w:tcPr>
            <w:tcW w:type="dxa" w:w="2691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 w:val="en-US"/>
              </w:rPr>
              <w:t> </w:t>
            </w: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Score</w:t>
            </w:r>
          </w:p>
        </w:tc>
        <w:tc>
          <w:tcPr>
            <w:tcW w:type="dxa" w:w="2411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type="dxa" w:w="992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type="dxa" w:w="996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>
        <w:trPr>
          <w:cantSplit w:val="false"/>
        </w:trPr>
        <w:tc>
          <w:tcPr>
            <w:tcW w:type="dxa" w:w="2654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Variabele</w:t>
            </w:r>
          </w:p>
        </w:tc>
        <w:tc>
          <w:tcPr>
            <w:tcW w:type="dxa" w:w="2691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type="dxa" w:w="2411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type="dxa" w:w="992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type="dxa" w:w="996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</w:p>
        </w:tc>
      </w:tr>
      <w:tr>
        <w:trPr>
          <w:cantSplit w:val="false"/>
        </w:trPr>
        <w:tc>
          <w:tcPr>
            <w:tcW w:type="dxa" w:w="2654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WHO 2001 </w:t>
            </w:r>
          </w:p>
        </w:tc>
        <w:tc>
          <w:tcPr>
            <w:tcW w:type="dxa" w:w="2691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 </w:t>
            </w: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RA, RARS,del(5q)</w:t>
            </w:r>
          </w:p>
        </w:tc>
        <w:tc>
          <w:tcPr>
            <w:tcW w:type="dxa" w:w="2411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 </w:t>
            </w: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RCMD+/-RS</w:t>
            </w:r>
          </w:p>
        </w:tc>
        <w:tc>
          <w:tcPr>
            <w:tcW w:type="dxa" w:w="992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 </w:t>
            </w: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RAEB-1</w:t>
            </w:r>
          </w:p>
        </w:tc>
        <w:tc>
          <w:tcPr>
            <w:tcW w:type="dxa" w:w="996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 </w:t>
            </w: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RAEB-2</w:t>
            </w:r>
          </w:p>
        </w:tc>
      </w:tr>
      <w:tr>
        <w:trPr>
          <w:cantSplit w:val="false"/>
        </w:trPr>
        <w:tc>
          <w:tcPr>
            <w:tcW w:type="dxa" w:w="2654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Karyotype</w:t>
            </w:r>
          </w:p>
        </w:tc>
        <w:tc>
          <w:tcPr>
            <w:tcW w:type="dxa" w:w="2691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 </w:t>
            </w: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goed</w:t>
            </w:r>
          </w:p>
        </w:tc>
        <w:tc>
          <w:tcPr>
            <w:tcW w:type="dxa" w:w="2411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 </w:t>
            </w: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intermed</w:t>
            </w:r>
          </w:p>
        </w:tc>
        <w:tc>
          <w:tcPr>
            <w:tcW w:type="dxa" w:w="992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 </w:t>
            </w: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slecht</w:t>
            </w:r>
          </w:p>
        </w:tc>
        <w:tc>
          <w:tcPr>
            <w:tcW w:type="dxa" w:w="996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>
        <w:trPr>
          <w:trHeight w:hRule="atLeast" w:val="456"/>
          <w:cantSplit w:val="false"/>
        </w:trPr>
        <w:tc>
          <w:tcPr>
            <w:tcW w:type="dxa" w:w="2654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Transfusie / Hb</w:t>
            </w:r>
          </w:p>
        </w:tc>
        <w:tc>
          <w:tcPr>
            <w:tcW w:type="dxa" w:w="2691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16" w:before="12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Nee of Hb&gt; grenswaarde</w:t>
            </w:r>
          </w:p>
        </w:tc>
        <w:tc>
          <w:tcPr>
            <w:tcW w:type="dxa" w:w="2411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Ja of Hb&lt; grenswaarde</w:t>
            </w:r>
          </w:p>
        </w:tc>
        <w:tc>
          <w:tcPr>
            <w:tcW w:type="dxa" w:w="992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type="dxa" w:w="996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>
      <w:pPr>
        <w:pStyle w:val="style0"/>
        <w:shd w:fill="FFFFFF" w:val="clear"/>
        <w:spacing w:after="200" w:before="120" w:line="300" w:lineRule="auto"/>
      </w:pPr>
      <w:r>
        <w:rPr>
          <w:rFonts w:ascii="Arial" w:cs="Arial" w:eastAsia="Times New Roman" w:hAnsi="Arial"/>
          <w:b/>
          <w:bCs/>
          <w:color w:val="000000"/>
          <w:sz w:val="20"/>
          <w:szCs w:val="20"/>
          <w:lang w:eastAsia="nl-NL"/>
        </w:rPr>
        <w:t>Extra punten:</w:t>
      </w:r>
      <w:r>
        <w:rPr>
          <w:rFonts w:ascii="Arial" w:cs="Arial" w:eastAsia="Times New Roman" w:hAnsi="Arial"/>
          <w:color w:val="000000"/>
          <w:sz w:val="20"/>
          <w:szCs w:val="20"/>
          <w:lang w:eastAsia="nl-NL"/>
        </w:rPr>
        <w:t xml:space="preserve"> extra 1 scorepunt bij  matige/ernstige beenmergfibrose en/of comorbiditeit</w:t>
      </w:r>
    </w:p>
    <w:tbl>
      <w:tblPr>
        <w:jc w:val="left"/>
        <w:tblInd w:type="dxa" w:w="-213"/>
        <w:tblBorders>
          <w:top w:color="780508" w:space="0" w:sz="12" w:val="single"/>
          <w:left w:color="780508" w:space="0" w:sz="12" w:val="single"/>
          <w:bottom w:color="780508" w:space="0" w:sz="12" w:val="single"/>
          <w:right w:color="780508" w:space="0" w:sz="12" w:val="single"/>
        </w:tblBorders>
      </w:tblPr>
      <w:tblGrid>
        <w:gridCol w:w="1379"/>
        <w:gridCol w:w="1448"/>
        <w:gridCol w:w="857"/>
        <w:gridCol w:w="1289"/>
        <w:gridCol w:w="1433"/>
        <w:gridCol w:w="2152"/>
      </w:tblGrid>
      <w:tr>
        <w:trPr>
          <w:trHeight w:hRule="atLeast" w:val="301"/>
          <w:cantSplit w:val="false"/>
        </w:trPr>
        <w:tc>
          <w:tcPr>
            <w:tcW w:type="dxa" w:w="1379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  <w:lang w:eastAsia="nl-NL"/>
              </w:rPr>
              <w:t>Risicogroep</w:t>
            </w:r>
          </w:p>
        </w:tc>
        <w:tc>
          <w:tcPr>
            <w:tcW w:type="dxa" w:w="1448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Zeer laag</w:t>
            </w:r>
          </w:p>
        </w:tc>
        <w:tc>
          <w:tcPr>
            <w:tcW w:type="dxa" w:w="857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Laag </w:t>
              <w:br/>
              <w:t> </w:t>
            </w:r>
          </w:p>
        </w:tc>
        <w:tc>
          <w:tcPr>
            <w:tcW w:type="dxa" w:w="1289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Intermed</w:t>
            </w:r>
          </w:p>
        </w:tc>
        <w:tc>
          <w:tcPr>
            <w:tcW w:type="dxa" w:w="1433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Hoog</w:t>
            </w:r>
          </w:p>
        </w:tc>
        <w:tc>
          <w:tcPr>
            <w:tcW w:type="dxa" w:w="2152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Zeer hoog</w:t>
            </w:r>
          </w:p>
        </w:tc>
      </w:tr>
      <w:tr>
        <w:trPr>
          <w:trHeight w:hRule="atLeast" w:val="209"/>
          <w:cantSplit w:val="false"/>
        </w:trPr>
        <w:tc>
          <w:tcPr>
            <w:tcW w:type="dxa" w:w="1379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16" w:before="120" w:line="300" w:lineRule="auto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Score</w:t>
            </w:r>
          </w:p>
        </w:tc>
        <w:tc>
          <w:tcPr>
            <w:tcW w:type="dxa" w:w="1448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  <w:jc w:val="center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 </w:t>
            </w: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type="dxa" w:w="857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  <w:jc w:val="center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type="dxa" w:w="1289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  <w:jc w:val="center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type="dxa" w:w="1433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  <w:jc w:val="center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3-4</w:t>
            </w:r>
          </w:p>
        </w:tc>
        <w:tc>
          <w:tcPr>
            <w:tcW w:type="dxa" w:w="2152"/>
            <w:tcBorders>
              <w:top w:color="780508" w:space="0" w:sz="12" w:val="single"/>
              <w:left w:color="780508" w:space="0" w:sz="12" w:val="single"/>
              <w:bottom w:color="780508" w:space="0" w:sz="12" w:val="single"/>
              <w:right w:color="780508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00" w:lineRule="auto"/>
              <w:jc w:val="center"/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  <w:lang w:eastAsia="nl-NL"/>
              </w:rPr>
              <w:t>5-6</w:t>
            </w:r>
          </w:p>
        </w:tc>
      </w:tr>
    </w:tbl>
    <w:p>
      <w:pPr>
        <w:pStyle w:val="style0"/>
        <w:shd w:fill="FFFFFF" w:val="clear"/>
        <w:spacing w:after="200" w:before="120" w:line="300" w:lineRule="auto"/>
      </w:pPr>
      <w:r>
        <w:rPr/>
      </w:r>
    </w:p>
    <w:p>
      <w:pPr>
        <w:pStyle w:val="style0"/>
        <w:shd w:fill="FFFFFF" w:val="clear"/>
        <w:spacing w:after="200" w:before="120" w:line="300" w:lineRule="auto"/>
      </w:pPr>
      <w:r>
        <w:rPr/>
        <w:drawing>
          <wp:inline distB="0" distL="0" distR="0" distT="0">
            <wp:extent cx="5731510" cy="387731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7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hd w:fill="FFFFFF" w:val="clear"/>
        <w:spacing w:after="200" w:before="120" w:line="300" w:lineRule="auto"/>
      </w:pPr>
      <w:r>
        <w:rPr/>
      </w:r>
    </w:p>
    <w:p>
      <w:pPr>
        <w:pStyle w:val="style0"/>
      </w:pPr>
      <w:r>
        <w:rPr/>
      </w:r>
    </w:p>
    <w:p>
      <w:pPr>
        <w:pStyle w:val="style0"/>
        <w:pageBreakBefore/>
        <w:shd w:fill="FFFFFF" w:val="clear"/>
        <w:spacing w:after="0" w:before="0" w:line="100" w:lineRule="atLeast"/>
      </w:pPr>
      <w:r>
        <w:rPr>
          <w:rFonts w:ascii="Verdana" w:cs="Arial" w:eastAsia="Times New Roman" w:hAnsi="Verdana"/>
          <w:b/>
          <w:bCs/>
          <w:sz w:val="24"/>
          <w:szCs w:val="24"/>
          <w:lang w:eastAsia="nl-NL" w:val="en-US"/>
        </w:rPr>
        <w:t>Revised international prognostic scoring system (IPSS-R) in myelodysplastic syndrome</w:t>
      </w:r>
    </w:p>
    <w:tbl>
      <w:tblPr>
        <w:jc w:val="center"/>
        <w:tblBorders>
          <w:left w:color="000001" w:space="0" w:sz="6" w:val="single"/>
          <w:bottom w:color="000001" w:space="0" w:sz="18" w:val="single"/>
        </w:tblBorders>
      </w:tblPr>
      <w:tblGrid>
        <w:gridCol w:w="1173"/>
        <w:gridCol w:w="8213"/>
      </w:tblGrid>
      <w:tr>
        <w:trPr>
          <w:cantSplit w:val="false"/>
        </w:trPr>
        <w:tc>
          <w:tcPr>
            <w:tcW w:type="dxa" w:w="1173"/>
            <w:vMerge w:val="restart"/>
            <w:tcBorders>
              <w:left w:color="000001" w:space="0" w:sz="6" w:val="single"/>
              <w:bottom w:color="000001" w:space="0" w:sz="18" w:val="single"/>
            </w:tcBorders>
            <w:shd w:fill="EEEEE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b/>
                <w:bCs/>
                <w:lang w:eastAsia="nl-NL"/>
              </w:rPr>
              <w:t>Prognostic variable</w:t>
            </w:r>
          </w:p>
        </w:tc>
        <w:tc>
          <w:tcPr>
            <w:tcW w:type="dxa" w:w="8213"/>
            <w:gridSpan w:val="7"/>
            <w:tcBorders>
              <w:left w:color="000001" w:space="0" w:sz="6" w:val="single"/>
              <w:bottom w:color="000001" w:space="0" w:sz="18" w:val="single"/>
              <w:right w:color="000001" w:space="0" w:sz="6" w:val="single"/>
            </w:tcBorders>
            <w:shd w:fill="EEEEE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b/>
                <w:bCs/>
                <w:lang w:eastAsia="nl-NL"/>
              </w:rPr>
              <w:t>Score</w:t>
            </w:r>
          </w:p>
        </w:tc>
      </w:tr>
      <w:tr>
        <w:trPr>
          <w:cantSplit w:val="false"/>
        </w:trPr>
        <w:tc>
          <w:tcPr>
            <w:tcW w:type="dxa" w:w="1173"/>
            <w:vMerge w:val="continue"/>
            <w:tcBorders>
              <w:left w:color="000001" w:space="0" w:sz="6" w:val="single"/>
              <w:bottom w:color="000001" w:space="0" w:sz="1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173"/>
            <w:tcBorders>
              <w:left w:color="000001" w:space="0" w:sz="6" w:val="single"/>
              <w:bottom w:color="555555" w:space="0" w:sz="1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  <w:lang w:eastAsia="nl-NL"/>
              </w:rPr>
              <w:t>0</w:t>
            </w:r>
          </w:p>
        </w:tc>
        <w:tc>
          <w:tcPr>
            <w:tcW w:type="dxa" w:w="1174"/>
            <w:tcBorders>
              <w:left w:color="000001" w:space="0" w:sz="6" w:val="single"/>
              <w:bottom w:color="555555" w:space="0" w:sz="1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  <w:lang w:eastAsia="nl-NL"/>
              </w:rPr>
              <w:t>0.5</w:t>
            </w:r>
          </w:p>
        </w:tc>
        <w:tc>
          <w:tcPr>
            <w:tcW w:type="dxa" w:w="1173"/>
            <w:tcBorders>
              <w:left w:color="000001" w:space="0" w:sz="6" w:val="single"/>
              <w:bottom w:color="555555" w:space="0" w:sz="1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  <w:lang w:eastAsia="nl-NL"/>
              </w:rPr>
              <w:t>1.0</w:t>
            </w:r>
          </w:p>
        </w:tc>
        <w:tc>
          <w:tcPr>
            <w:tcW w:type="dxa" w:w="1173"/>
            <w:tcBorders>
              <w:left w:color="000001" w:space="0" w:sz="6" w:val="single"/>
              <w:bottom w:color="555555" w:space="0" w:sz="1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  <w:lang w:eastAsia="nl-NL"/>
              </w:rPr>
              <w:t>1.5</w:t>
            </w:r>
          </w:p>
        </w:tc>
        <w:tc>
          <w:tcPr>
            <w:tcW w:type="dxa" w:w="1174"/>
            <w:tcBorders>
              <w:left w:color="000001" w:space="0" w:sz="6" w:val="single"/>
              <w:bottom w:color="555555" w:space="0" w:sz="1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  <w:lang w:eastAsia="nl-NL"/>
              </w:rPr>
              <w:t>2.0</w:t>
            </w:r>
          </w:p>
        </w:tc>
        <w:tc>
          <w:tcPr>
            <w:tcW w:type="dxa" w:w="1173"/>
            <w:tcBorders>
              <w:left w:color="000001" w:space="0" w:sz="6" w:val="single"/>
              <w:bottom w:color="555555" w:space="0" w:sz="1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  <w:lang w:eastAsia="nl-NL"/>
              </w:rPr>
              <w:t>3.0</w:t>
            </w:r>
          </w:p>
        </w:tc>
        <w:tc>
          <w:tcPr>
            <w:tcW w:type="dxa" w:w="1173"/>
            <w:tcBorders>
              <w:left w:color="000001" w:space="0" w:sz="6" w:val="single"/>
              <w:bottom w:color="555555" w:space="0" w:sz="18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  <w:lang w:eastAsia="nl-NL"/>
              </w:rPr>
              <w:t>4.0</w:t>
            </w:r>
          </w:p>
        </w:tc>
      </w:tr>
      <w:tr>
        <w:trPr>
          <w:cantSplit w:val="false"/>
        </w:trPr>
        <w:tc>
          <w:tcPr>
            <w:tcW w:type="dxa" w:w="1173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Cytogenetics*</w:t>
            </w:r>
          </w:p>
        </w:tc>
        <w:tc>
          <w:tcPr>
            <w:tcW w:type="dxa" w:w="1173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Very good</w:t>
            </w:r>
          </w:p>
        </w:tc>
        <w:tc>
          <w:tcPr>
            <w:tcW w:type="dxa" w:w="1174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173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Good</w:t>
            </w:r>
          </w:p>
        </w:tc>
        <w:tc>
          <w:tcPr>
            <w:tcW w:type="dxa" w:w="1173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174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Intermediate</w:t>
            </w:r>
          </w:p>
        </w:tc>
        <w:tc>
          <w:tcPr>
            <w:tcW w:type="dxa" w:w="1173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Poor</w:t>
            </w:r>
          </w:p>
        </w:tc>
        <w:tc>
          <w:tcPr>
            <w:tcW w:type="dxa" w:w="1173"/>
            <w:tcBorders>
              <w:left w:color="000001" w:space="0" w:sz="6" w:val="single"/>
              <w:bottom w:color="CCCCCC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Very poor</w:t>
            </w:r>
          </w:p>
        </w:tc>
      </w:tr>
      <w:tr>
        <w:trPr>
          <w:cantSplit w:val="false"/>
        </w:trPr>
        <w:tc>
          <w:tcPr>
            <w:tcW w:type="dxa" w:w="1173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Bone marrow blast (percent)</w:t>
            </w:r>
          </w:p>
        </w:tc>
        <w:tc>
          <w:tcPr>
            <w:tcW w:type="dxa" w:w="1173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≤</w:t>
            </w: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 xml:space="preserve">2 </w:t>
            </w:r>
          </w:p>
        </w:tc>
        <w:tc>
          <w:tcPr>
            <w:tcW w:type="dxa" w:w="1174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173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 xml:space="preserve">&gt;2 to &lt;5 </w:t>
            </w:r>
          </w:p>
        </w:tc>
        <w:tc>
          <w:tcPr>
            <w:tcW w:type="dxa" w:w="1173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174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 xml:space="preserve">5 to 10 </w:t>
            </w:r>
          </w:p>
        </w:tc>
        <w:tc>
          <w:tcPr>
            <w:tcW w:type="dxa" w:w="1173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 xml:space="preserve">&gt;10 </w:t>
            </w:r>
          </w:p>
        </w:tc>
        <w:tc>
          <w:tcPr>
            <w:tcW w:type="dxa" w:w="1173"/>
            <w:tcBorders>
              <w:left w:color="000001" w:space="0" w:sz="6" w:val="single"/>
              <w:bottom w:color="CCCCCC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73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Hemoglobin (g/dL)</w:t>
            </w:r>
          </w:p>
        </w:tc>
        <w:tc>
          <w:tcPr>
            <w:tcW w:type="dxa" w:w="1173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≥</w:t>
            </w: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10</w:t>
            </w:r>
          </w:p>
        </w:tc>
        <w:tc>
          <w:tcPr>
            <w:tcW w:type="dxa" w:w="1174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173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8 to &lt;10</w:t>
            </w:r>
          </w:p>
        </w:tc>
        <w:tc>
          <w:tcPr>
            <w:tcW w:type="dxa" w:w="1173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&lt;8</w:t>
            </w:r>
          </w:p>
        </w:tc>
        <w:tc>
          <w:tcPr>
            <w:tcW w:type="dxa" w:w="1174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173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173"/>
            <w:tcBorders>
              <w:left w:color="000001" w:space="0" w:sz="6" w:val="single"/>
              <w:bottom w:color="CCCCCC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73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Platelets (cells/microL)</w:t>
            </w:r>
          </w:p>
        </w:tc>
        <w:tc>
          <w:tcPr>
            <w:tcW w:type="dxa" w:w="1173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≥</w:t>
            </w: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100</w:t>
            </w:r>
          </w:p>
        </w:tc>
        <w:tc>
          <w:tcPr>
            <w:tcW w:type="dxa" w:w="1174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50 to 100</w:t>
            </w:r>
          </w:p>
        </w:tc>
        <w:tc>
          <w:tcPr>
            <w:tcW w:type="dxa" w:w="1173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&lt;50</w:t>
            </w:r>
          </w:p>
        </w:tc>
        <w:tc>
          <w:tcPr>
            <w:tcW w:type="dxa" w:w="1173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174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173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173"/>
            <w:tcBorders>
              <w:left w:color="000001" w:space="0" w:sz="6" w:val="single"/>
              <w:bottom w:color="CCCCCC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666"/>
          <w:cantSplit w:val="false"/>
        </w:trPr>
        <w:tc>
          <w:tcPr>
            <w:tcW w:type="dxa" w:w="1173"/>
            <w:tcBorders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 w:val="en-US"/>
              </w:rPr>
              <w:t>Absolute neutrophil count (cells/microL)</w:t>
            </w:r>
          </w:p>
        </w:tc>
        <w:tc>
          <w:tcPr>
            <w:tcW w:type="dxa" w:w="1173"/>
            <w:tcBorders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≥</w:t>
            </w: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0.8</w:t>
            </w:r>
          </w:p>
        </w:tc>
        <w:tc>
          <w:tcPr>
            <w:tcW w:type="dxa" w:w="1174"/>
            <w:tcBorders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&lt;0.8</w:t>
            </w:r>
          </w:p>
        </w:tc>
        <w:tc>
          <w:tcPr>
            <w:tcW w:type="dxa" w:w="1173"/>
            <w:tcBorders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173"/>
            <w:tcBorders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174"/>
            <w:tcBorders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173"/>
            <w:tcBorders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173"/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86"/>
            <w:gridSpan w:val="8"/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 w:val="en-US"/>
              </w:rPr>
              <w:t>This scoring system was applied to an initial group of 7012 patients with primary MDS by the French-American-British classification who had at least two months of stable blood counts, ≤30 percent bone marrow blasts and ≤19 percent peripheral blood blasts, and who were observed until progression to AML transformation or death (did not receive disease-modifying agents for MDS). Patients could be stratified into five groups with the following estimated overall survival and progression to AML.</w:t>
            </w:r>
          </w:p>
        </w:tc>
      </w:tr>
      <w:tr>
        <w:trPr>
          <w:cantSplit w:val="false"/>
        </w:trPr>
        <w:tc>
          <w:tcPr>
            <w:tcW w:type="dxa" w:w="1173"/>
            <w:tcBorders>
              <w:left w:color="000001" w:space="0" w:sz="6" w:val="single"/>
              <w:bottom w:color="555555" w:space="0" w:sz="1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  <w:lang w:eastAsia="nl-NL"/>
              </w:rPr>
              <w:t>Risk group</w:t>
            </w:r>
          </w:p>
        </w:tc>
        <w:tc>
          <w:tcPr>
            <w:tcW w:type="dxa" w:w="1173"/>
            <w:tcBorders>
              <w:left w:color="000001" w:space="0" w:sz="6" w:val="single"/>
              <w:bottom w:color="555555" w:space="0" w:sz="1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  <w:lang w:eastAsia="nl-NL"/>
              </w:rPr>
              <w:t>IPSS-R score</w:t>
            </w:r>
          </w:p>
        </w:tc>
        <w:tc>
          <w:tcPr>
            <w:tcW w:type="dxa" w:w="1174"/>
            <w:tcBorders>
              <w:left w:color="000001" w:space="0" w:sz="6" w:val="single"/>
              <w:bottom w:color="555555" w:space="0" w:sz="1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  <w:lang w:eastAsia="nl-NL"/>
              </w:rPr>
              <w:t>Median overall survival (years)</w:t>
            </w:r>
          </w:p>
        </w:tc>
        <w:tc>
          <w:tcPr>
            <w:tcW w:type="dxa" w:w="5866"/>
            <w:gridSpan w:val="5"/>
            <w:tcBorders>
              <w:left w:color="000001" w:space="0" w:sz="6" w:val="single"/>
              <w:bottom w:color="555555" w:space="0" w:sz="18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  <w:lang w:eastAsia="nl-NL" w:val="en-US"/>
              </w:rPr>
              <w:t>Median time to 25 percent AML evolution (years)</w:t>
            </w:r>
          </w:p>
        </w:tc>
      </w:tr>
      <w:tr>
        <w:trPr>
          <w:cantSplit w:val="false"/>
        </w:trPr>
        <w:tc>
          <w:tcPr>
            <w:tcW w:type="dxa" w:w="1173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Very low</w:t>
            </w:r>
          </w:p>
        </w:tc>
        <w:tc>
          <w:tcPr>
            <w:tcW w:type="dxa" w:w="1173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≤</w:t>
            </w: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1.5</w:t>
            </w:r>
          </w:p>
        </w:tc>
        <w:tc>
          <w:tcPr>
            <w:tcW w:type="dxa" w:w="1174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8.8</w:t>
            </w:r>
          </w:p>
        </w:tc>
        <w:tc>
          <w:tcPr>
            <w:tcW w:type="dxa" w:w="5866"/>
            <w:gridSpan w:val="5"/>
            <w:tcBorders>
              <w:left w:color="000001" w:space="0" w:sz="6" w:val="single"/>
              <w:bottom w:color="CCCCCC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&gt;14.5</w:t>
            </w:r>
          </w:p>
        </w:tc>
      </w:tr>
      <w:tr>
        <w:trPr>
          <w:cantSplit w:val="false"/>
        </w:trPr>
        <w:tc>
          <w:tcPr>
            <w:tcW w:type="dxa" w:w="1173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type="dxa" w:w="1173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&gt;1.5 to 3.0</w:t>
            </w:r>
          </w:p>
        </w:tc>
        <w:tc>
          <w:tcPr>
            <w:tcW w:type="dxa" w:w="1174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5.3</w:t>
            </w:r>
          </w:p>
        </w:tc>
        <w:tc>
          <w:tcPr>
            <w:tcW w:type="dxa" w:w="5866"/>
            <w:gridSpan w:val="5"/>
            <w:tcBorders>
              <w:left w:color="000001" w:space="0" w:sz="6" w:val="single"/>
              <w:bottom w:color="CCCCCC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10.8</w:t>
            </w:r>
          </w:p>
        </w:tc>
      </w:tr>
      <w:tr>
        <w:trPr>
          <w:cantSplit w:val="false"/>
        </w:trPr>
        <w:tc>
          <w:tcPr>
            <w:tcW w:type="dxa" w:w="1173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Intermediate</w:t>
            </w:r>
          </w:p>
        </w:tc>
        <w:tc>
          <w:tcPr>
            <w:tcW w:type="dxa" w:w="1173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&gt;3 to 4.5</w:t>
            </w:r>
          </w:p>
        </w:tc>
        <w:tc>
          <w:tcPr>
            <w:tcW w:type="dxa" w:w="1174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3.0</w:t>
            </w:r>
          </w:p>
        </w:tc>
        <w:tc>
          <w:tcPr>
            <w:tcW w:type="dxa" w:w="5866"/>
            <w:gridSpan w:val="5"/>
            <w:tcBorders>
              <w:left w:color="000001" w:space="0" w:sz="6" w:val="single"/>
              <w:bottom w:color="CCCCCC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3.2</w:t>
            </w:r>
          </w:p>
        </w:tc>
      </w:tr>
      <w:tr>
        <w:trPr>
          <w:cantSplit w:val="false"/>
        </w:trPr>
        <w:tc>
          <w:tcPr>
            <w:tcW w:type="dxa" w:w="1173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High</w:t>
            </w:r>
          </w:p>
        </w:tc>
        <w:tc>
          <w:tcPr>
            <w:tcW w:type="dxa" w:w="1173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&gt;4.5 to 6</w:t>
            </w:r>
          </w:p>
        </w:tc>
        <w:tc>
          <w:tcPr>
            <w:tcW w:type="dxa" w:w="1174"/>
            <w:tcBorders>
              <w:left w:color="000001" w:space="0" w:sz="6" w:val="single"/>
              <w:bottom w:color="CCCCCC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1.6</w:t>
            </w:r>
          </w:p>
        </w:tc>
        <w:tc>
          <w:tcPr>
            <w:tcW w:type="dxa" w:w="5866"/>
            <w:gridSpan w:val="5"/>
            <w:tcBorders>
              <w:left w:color="000001" w:space="0" w:sz="6" w:val="single"/>
              <w:bottom w:color="CCCCCC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1.4</w:t>
            </w:r>
          </w:p>
        </w:tc>
      </w:tr>
      <w:tr>
        <w:trPr>
          <w:cantSplit w:val="false"/>
        </w:trPr>
        <w:tc>
          <w:tcPr>
            <w:tcW w:type="dxa" w:w="1173"/>
            <w:tcBorders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Very high</w:t>
            </w:r>
          </w:p>
        </w:tc>
        <w:tc>
          <w:tcPr>
            <w:tcW w:type="dxa" w:w="1173"/>
            <w:tcBorders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&gt;6</w:t>
            </w:r>
          </w:p>
        </w:tc>
        <w:tc>
          <w:tcPr>
            <w:tcW w:type="dxa" w:w="1174"/>
            <w:tcBorders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0.8</w:t>
            </w:r>
          </w:p>
        </w:tc>
        <w:tc>
          <w:tcPr>
            <w:tcW w:type="dxa" w:w="5866"/>
            <w:gridSpan w:val="5"/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eastAsia="Times New Roman" w:hAnsi="Arial"/>
                <w:sz w:val="18"/>
                <w:szCs w:val="18"/>
                <w:lang w:eastAsia="nl-NL"/>
              </w:rPr>
              <w:t>0.7</w:t>
            </w:r>
          </w:p>
        </w:tc>
      </w:tr>
      <w:tr>
        <w:trPr>
          <w:cantSplit w:val="false"/>
        </w:trPr>
        <w:tc>
          <w:tcPr>
            <w:tcW w:type="dxa" w:w="9386"/>
            <w:gridSpan w:val="8"/>
            <w:tcBorders>
              <w:left w:color="000001" w:space="0" w:sz="6" w:val="single"/>
              <w:bottom w:color="CCCCCC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</w:tbl>
    <w:p>
      <w:pPr>
        <w:pStyle w:val="style0"/>
        <w:shd w:fill="FFFFFF" w:val="clear"/>
        <w:spacing w:after="0" w:before="0" w:line="100" w:lineRule="atLeast"/>
      </w:pPr>
      <w:r>
        <w:rPr>
          <w:rFonts w:ascii="Verdana" w:cs="Arial" w:eastAsia="Times New Roman" w:hAnsi="Verdana"/>
          <w:sz w:val="18"/>
          <w:szCs w:val="18"/>
          <w:lang w:eastAsia="nl-NL" w:val="en-US"/>
        </w:rPr>
        <w:br/>
      </w:r>
      <w:r>
        <w:rPr>
          <w:rFonts w:ascii="Arial" w:cs="Arial" w:hAnsi="Arial"/>
          <w:sz w:val="20"/>
          <w:szCs w:val="20"/>
          <w:lang w:val="en-US"/>
        </w:rPr>
        <w:t xml:space="preserve">It has been concluded that young patients with two or more adverse features (ie, hemoglobin &lt;10 </w:t>
      </w:r>
      <w:r>
        <w:rPr>
          <w:rStyle w:val="style19"/>
          <w:rFonts w:ascii="Arial" w:cs="Arial" w:hAnsi="Arial"/>
          <w:sz w:val="20"/>
          <w:szCs w:val="20"/>
          <w:lang w:val="en-US"/>
        </w:rPr>
        <w:t>g/dL,</w:t>
      </w:r>
      <w:r>
        <w:rPr>
          <w:rFonts w:ascii="Arial" w:cs="Arial" w:hAnsi="Arial"/>
          <w:sz w:val="20"/>
          <w:szCs w:val="20"/>
          <w:lang w:val="en-US"/>
        </w:rPr>
        <w:t xml:space="preserve"> constitutional symptoms, isolated cytogenetic abnormality, or blasts &gt;1 percent) [</w:t>
      </w:r>
      <w:hyperlink r:id="rId4">
        <w:r>
          <w:rPr>
            <w:rStyle w:val="style20"/>
            <w:rStyle w:val="style20"/>
            <w:rFonts w:ascii="Arial" w:cs="Arial" w:hAnsi="Arial"/>
            <w:color w:val="336633"/>
            <w:sz w:val="20"/>
            <w:szCs w:val="20"/>
            <w:u w:val="single"/>
            <w:lang w:val="en-US"/>
          </w:rPr>
          <w:t>9,52</w:t>
        </w:r>
      </w:hyperlink>
      <w:r>
        <w:rPr>
          <w:rFonts w:ascii="Arial" w:cs="Arial" w:hAnsi="Arial"/>
          <w:sz w:val="20"/>
          <w:szCs w:val="20"/>
          <w:lang w:val="en-US"/>
        </w:rPr>
        <w:t>] should be considered for HCT shortly after diagnosis.</w:t>
      </w:r>
    </w:p>
    <w:sectPr>
      <w:type w:val="nextPage"/>
      <w:pgSz w:h="16838" w:w="11906"/>
      <w:pgMar w:bottom="1440" w:footer="0" w:gutter="0" w:header="0" w:left="1440" w:right="1440" w:top="144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ard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nl-NL"/>
    </w:rPr>
  </w:style>
  <w:style w:styleId="style15" w:type="character">
    <w:name w:val="Default Paragraph Font"/>
    <w:next w:val="style15"/>
    <w:rPr/>
  </w:style>
  <w:style w:styleId="style16" w:type="character">
    <w:name w:val="Sterk accent"/>
    <w:basedOn w:val="style15"/>
    <w:next w:val="style16"/>
    <w:rPr>
      <w:b/>
      <w:bCs/>
    </w:rPr>
  </w:style>
  <w:style w:styleId="style17" w:type="character">
    <w:name w:val="Ballontekst Char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ListLabel 1"/>
    <w:next w:val="style18"/>
    <w:rPr>
      <w:sz w:val="20"/>
    </w:rPr>
  </w:style>
  <w:style w:styleId="style19" w:type="character">
    <w:name w:val="nowrap1"/>
    <w:basedOn w:val="style15"/>
    <w:next w:val="style19"/>
    <w:rPr/>
  </w:style>
  <w:style w:styleId="style20" w:type="character">
    <w:name w:val="Internetkoppeling"/>
    <w:next w:val="style20"/>
    <w:rPr>
      <w:color w:val="000080"/>
      <w:u w:val="single"/>
      <w:lang w:bidi="nl-NL" w:eastAsia="nl-NL" w:val="nl-NL"/>
    </w:rPr>
  </w:style>
  <w:style w:styleId="style21" w:type="paragraph">
    <w:name w:val="Kop"/>
    <w:basedOn w:val="style0"/>
    <w:next w:val="style22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2" w:type="paragraph">
    <w:name w:val="Tekstblok"/>
    <w:basedOn w:val="style0"/>
    <w:next w:val="style22"/>
    <w:pPr>
      <w:spacing w:after="120" w:before="0"/>
    </w:pPr>
    <w:rPr/>
  </w:style>
  <w:style w:styleId="style23" w:type="paragraph">
    <w:name w:val="Lijst"/>
    <w:basedOn w:val="style22"/>
    <w:next w:val="style23"/>
    <w:pPr/>
    <w:rPr>
      <w:rFonts w:cs="Lohit Hindi"/>
    </w:rPr>
  </w:style>
  <w:style w:styleId="style24" w:type="paragraph">
    <w:name w:val="Bijschrift"/>
    <w:basedOn w:val="style0"/>
    <w:next w:val="style24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5" w:type="paragraph">
    <w:name w:val="Index"/>
    <w:basedOn w:val="style0"/>
    <w:next w:val="style25"/>
    <w:pPr>
      <w:suppressLineNumbers/>
    </w:pPr>
    <w:rPr>
      <w:rFonts w:cs="Lohit Hindi"/>
    </w:rPr>
  </w:style>
  <w:style w:styleId="style26" w:type="paragraph">
    <w:name w:val="Normal (Web)"/>
    <w:basedOn w:val="style0"/>
    <w:next w:val="style26"/>
    <w:pPr>
      <w:spacing w:after="216" w:before="120" w:line="100" w:lineRule="atLeast"/>
    </w:pPr>
    <w:rPr>
      <w:rFonts w:ascii="Times New Roman" w:cs="Times New Roman" w:eastAsia="Times New Roman" w:hAnsi="Times New Roman"/>
      <w:sz w:val="24"/>
      <w:szCs w:val="24"/>
      <w:lang w:eastAsia="nl-NL"/>
    </w:rPr>
  </w:style>
  <w:style w:styleId="style27" w:type="paragraph">
    <w:name w:val="Balloon Text"/>
    <w:basedOn w:val="style0"/>
    <w:next w:val="style2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8" w:type="paragraph">
    <w:name w:val="Inhoud tabel"/>
    <w:basedOn w:val="style0"/>
    <w:next w:val="style28"/>
    <w:pPr>
      <w:suppressLineNumbers/>
    </w:pPr>
    <w:rPr/>
  </w:style>
  <w:style w:styleId="style29" w:type="paragraph">
    <w:name w:val="Tabelkop"/>
    <w:basedOn w:val="style28"/>
    <w:next w:val="style29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yperlink" Target="http://www.uptodate.com/contents/prognosis-and-treatment-of-primary-myelofibrosis/abstract/9,52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2016-09-17T20:57:00.00Z</dcterms:created>
  <dc:creator>Koen de Heer</dc:creator>
  <cp:lastModifiedBy>Koen de Heer</cp:lastModifiedBy>
  <dcterms:modified xsi:type="dcterms:W3CDTF">2016-09-17T20:57:00.00Z</dcterms:modified>
  <cp:revision>2</cp:revision>
</cp:coreProperties>
</file>