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8B" w:rsidRDefault="00D52E8B" w:rsidP="00D52E8B">
      <w:pPr>
        <w:spacing w:after="75" w:line="288" w:lineRule="atLeast"/>
        <w:outlineLvl w:val="1"/>
        <w:rPr>
          <w:rFonts w:asciiTheme="minorHAnsi" w:eastAsia="Times New Roman" w:hAnsiTheme="minorHAnsi" w:cs="Arial"/>
          <w:b/>
          <w:color w:val="222222"/>
        </w:rPr>
      </w:pPr>
      <w:r>
        <w:rPr>
          <w:rFonts w:asciiTheme="minorHAnsi" w:eastAsia="Times New Roman" w:hAnsiTheme="minorHAnsi" w:cs="Arial"/>
          <w:b/>
          <w:color w:val="222222"/>
        </w:rPr>
        <w:t>M-proteïne en polyneuropathie</w:t>
      </w:r>
    </w:p>
    <w:p w:rsidR="00D52E8B" w:rsidRDefault="00D52E8B" w:rsidP="00D52E8B">
      <w:pPr>
        <w:spacing w:before="100" w:beforeAutospacing="1" w:after="100" w:afterAutospacing="1" w:line="336" w:lineRule="atLeast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Een van de oorzaken van polyneuropathie is de aanwezigheid van een M-proteïne</w:t>
      </w:r>
      <w:r w:rsidR="003D28E6">
        <w:rPr>
          <w:rFonts w:asciiTheme="minorHAnsi" w:eastAsia="Times New Roman" w:hAnsiTheme="minorHAnsi" w:cs="Arial"/>
        </w:rPr>
        <w:t xml:space="preserve"> (</w:t>
      </w:r>
      <w:proofErr w:type="spellStart"/>
      <w:r w:rsidR="003D28E6">
        <w:rPr>
          <w:rFonts w:asciiTheme="minorHAnsi" w:eastAsia="Times New Roman" w:hAnsiTheme="minorHAnsi" w:cs="Arial"/>
        </w:rPr>
        <w:t>Ropper</w:t>
      </w:r>
      <w:proofErr w:type="spellEnd"/>
      <w:r w:rsidR="003D28E6">
        <w:rPr>
          <w:rFonts w:asciiTheme="minorHAnsi" w:eastAsia="Times New Roman" w:hAnsiTheme="minorHAnsi" w:cs="Arial"/>
        </w:rPr>
        <w:t>)</w:t>
      </w:r>
      <w:r>
        <w:rPr>
          <w:rFonts w:asciiTheme="minorHAnsi" w:eastAsia="Times New Roman" w:hAnsiTheme="minorHAnsi" w:cs="Arial"/>
        </w:rPr>
        <w:t xml:space="preserve">. Zowel bij een hematologische maligniteit als bij MGUS kan een polyneuropathie voorkomen. Er is geen relatie tussen de hoogte van de M-proteïnespiegel en de polyneuropathie. Indien er plotseling een toename van de polyneuropathie optreedt, moet men aan een progressie van de onderliggende </w:t>
      </w:r>
      <w:proofErr w:type="spellStart"/>
      <w:r>
        <w:rPr>
          <w:rFonts w:asciiTheme="minorHAnsi" w:eastAsia="Times New Roman" w:hAnsiTheme="minorHAnsi" w:cs="Arial"/>
        </w:rPr>
        <w:t>lymfoproliferatieve</w:t>
      </w:r>
      <w:proofErr w:type="spellEnd"/>
      <w:r>
        <w:rPr>
          <w:rFonts w:asciiTheme="minorHAnsi" w:eastAsia="Times New Roman" w:hAnsiTheme="minorHAnsi" w:cs="Arial"/>
        </w:rPr>
        <w:t xml:space="preserve"> aandoening (bij </w:t>
      </w:r>
      <w:proofErr w:type="spellStart"/>
      <w:r>
        <w:rPr>
          <w:rFonts w:asciiTheme="minorHAnsi" w:eastAsia="Times New Roman" w:hAnsiTheme="minorHAnsi" w:cs="Arial"/>
        </w:rPr>
        <w:t>IgM</w:t>
      </w:r>
      <w:proofErr w:type="spellEnd"/>
      <w:r>
        <w:rPr>
          <w:rFonts w:asciiTheme="minorHAnsi" w:eastAsia="Times New Roman" w:hAnsiTheme="minorHAnsi" w:cs="Arial"/>
        </w:rPr>
        <w:t xml:space="preserve">) of aan een ontaarding in een multipel myeloom (IgG dan wel </w:t>
      </w:r>
      <w:proofErr w:type="spellStart"/>
      <w:r>
        <w:rPr>
          <w:rFonts w:asciiTheme="minorHAnsi" w:eastAsia="Times New Roman" w:hAnsiTheme="minorHAnsi" w:cs="Arial"/>
        </w:rPr>
        <w:t>IgA</w:t>
      </w:r>
      <w:proofErr w:type="spellEnd"/>
      <w:r>
        <w:rPr>
          <w:rFonts w:asciiTheme="minorHAnsi" w:eastAsia="Times New Roman" w:hAnsiTheme="minorHAnsi" w:cs="Arial"/>
        </w:rPr>
        <w:t>) denken</w:t>
      </w:r>
      <w:r w:rsidR="006A23B2">
        <w:rPr>
          <w:rFonts w:asciiTheme="minorHAnsi" w:eastAsia="Times New Roman" w:hAnsiTheme="minorHAnsi" w:cs="Arial"/>
        </w:rPr>
        <w:t xml:space="preserve"> (</w:t>
      </w:r>
      <w:proofErr w:type="spellStart"/>
      <w:r w:rsidR="006A23B2">
        <w:rPr>
          <w:rFonts w:asciiTheme="minorHAnsi" w:eastAsia="Times New Roman" w:hAnsiTheme="minorHAnsi" w:cs="Arial"/>
        </w:rPr>
        <w:t>Kyle</w:t>
      </w:r>
      <w:proofErr w:type="spellEnd"/>
      <w:r w:rsidR="006A23B2">
        <w:rPr>
          <w:rFonts w:asciiTheme="minorHAnsi" w:eastAsia="Times New Roman" w:hAnsiTheme="minorHAnsi" w:cs="Arial"/>
        </w:rPr>
        <w:t>)</w:t>
      </w:r>
      <w:r>
        <w:rPr>
          <w:rFonts w:asciiTheme="minorHAnsi" w:eastAsia="Times New Roman" w:hAnsiTheme="minorHAnsi" w:cs="Arial"/>
        </w:rPr>
        <w:t>. Vraag ook naar autonome klachten. Er moet dan opnieuw uitgebreid hematologisch onderzoek plaatsvinden (</w:t>
      </w:r>
      <w:proofErr w:type="spellStart"/>
      <w:r>
        <w:rPr>
          <w:rFonts w:asciiTheme="minorHAnsi" w:eastAsia="Times New Roman" w:hAnsiTheme="minorHAnsi" w:cs="Arial"/>
        </w:rPr>
        <w:t>Eurelings</w:t>
      </w:r>
      <w:proofErr w:type="spellEnd"/>
      <w:r>
        <w:rPr>
          <w:rFonts w:asciiTheme="minorHAnsi" w:eastAsia="Times New Roman" w:hAnsiTheme="minorHAnsi" w:cs="Arial"/>
        </w:rPr>
        <w:t>).</w:t>
      </w:r>
    </w:p>
    <w:p w:rsidR="00FB4DB4" w:rsidRDefault="00D52E8B" w:rsidP="00FB4DB4">
      <w:pPr>
        <w:spacing w:after="75" w:line="346" w:lineRule="atLeast"/>
        <w:outlineLvl w:val="2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  <w:b/>
        </w:rPr>
        <w:t xml:space="preserve">Indien een </w:t>
      </w:r>
      <w:proofErr w:type="spellStart"/>
      <w:r>
        <w:rPr>
          <w:rFonts w:asciiTheme="minorHAnsi" w:eastAsia="Times New Roman" w:hAnsiTheme="minorHAnsi" w:cs="Arial"/>
          <w:b/>
        </w:rPr>
        <w:t>IgM</w:t>
      </w:r>
      <w:proofErr w:type="spellEnd"/>
      <w:r>
        <w:rPr>
          <w:rFonts w:asciiTheme="minorHAnsi" w:eastAsia="Times New Roman" w:hAnsiTheme="minorHAnsi" w:cs="Arial"/>
          <w:b/>
        </w:rPr>
        <w:t>-M-proteïne aanwezig is</w:t>
      </w:r>
      <w:r>
        <w:rPr>
          <w:rFonts w:asciiTheme="minorHAnsi" w:eastAsia="Times New Roman" w:hAnsiTheme="minorHAnsi" w:cs="Arial"/>
        </w:rPr>
        <w:t>, is de relatie met de polyneuropathie zeker</w:t>
      </w:r>
      <w:r w:rsidR="00FB4DB4">
        <w:rPr>
          <w:rFonts w:asciiTheme="minorHAnsi" w:eastAsia="Times New Roman" w:hAnsiTheme="minorHAnsi" w:cs="Arial"/>
        </w:rPr>
        <w:t xml:space="preserve"> (</w:t>
      </w:r>
      <w:r w:rsidR="00CF75EB">
        <w:rPr>
          <w:rFonts w:asciiTheme="minorHAnsi" w:eastAsia="Times New Roman" w:hAnsiTheme="minorHAnsi" w:cs="Arial"/>
        </w:rPr>
        <w:t>Pruppers)</w:t>
      </w:r>
      <w:r>
        <w:rPr>
          <w:rFonts w:asciiTheme="minorHAnsi" w:eastAsia="Times New Roman" w:hAnsiTheme="minorHAnsi" w:cs="Arial"/>
        </w:rPr>
        <w:t xml:space="preserve">. In 60- 70 % is er sprake van </w:t>
      </w:r>
      <w:proofErr w:type="spellStart"/>
      <w:r>
        <w:rPr>
          <w:rFonts w:asciiTheme="minorHAnsi" w:eastAsia="Times New Roman" w:hAnsiTheme="minorHAnsi" w:cs="Arial"/>
        </w:rPr>
        <w:t>IgM</w:t>
      </w:r>
      <w:proofErr w:type="spellEnd"/>
      <w:r>
        <w:rPr>
          <w:rFonts w:asciiTheme="minorHAnsi" w:eastAsia="Times New Roman" w:hAnsiTheme="minorHAnsi" w:cs="Arial"/>
        </w:rPr>
        <w:t>-antilichamen tegen met myeline-geass</w:t>
      </w:r>
      <w:r w:rsidR="00FB4DB4">
        <w:rPr>
          <w:rFonts w:asciiTheme="minorHAnsi" w:eastAsia="Times New Roman" w:hAnsiTheme="minorHAnsi" w:cs="Arial"/>
        </w:rPr>
        <w:t>ocieerd-glycoproteïne (MAG)(</w:t>
      </w:r>
      <w:proofErr w:type="spellStart"/>
      <w:r>
        <w:rPr>
          <w:rFonts w:asciiTheme="minorHAnsi" w:eastAsia="Times New Roman" w:hAnsiTheme="minorHAnsi" w:cs="Arial"/>
        </w:rPr>
        <w:t>Kuijf</w:t>
      </w:r>
      <w:proofErr w:type="spellEnd"/>
      <w:r w:rsidR="006A23B2">
        <w:rPr>
          <w:rFonts w:asciiTheme="minorHAnsi" w:eastAsia="Times New Roman" w:hAnsiTheme="minorHAnsi" w:cs="Arial"/>
        </w:rPr>
        <w:t>)</w:t>
      </w:r>
      <w:r>
        <w:rPr>
          <w:rFonts w:asciiTheme="minorHAnsi" w:eastAsia="Times New Roman" w:hAnsiTheme="minorHAnsi" w:cs="Arial"/>
        </w:rPr>
        <w:t xml:space="preserve">. De polyneuropathie in samenhang met een </w:t>
      </w:r>
      <w:proofErr w:type="spellStart"/>
      <w:r>
        <w:rPr>
          <w:rFonts w:asciiTheme="minorHAnsi" w:eastAsia="Times New Roman" w:hAnsiTheme="minorHAnsi" w:cs="Arial"/>
        </w:rPr>
        <w:t>IgM</w:t>
      </w:r>
      <w:proofErr w:type="spellEnd"/>
      <w:r>
        <w:rPr>
          <w:rFonts w:asciiTheme="minorHAnsi" w:eastAsia="Times New Roman" w:hAnsiTheme="minorHAnsi" w:cs="Arial"/>
        </w:rPr>
        <w:t xml:space="preserve">-proteïne met anti-MAG-reactiviteit is een duidelijke </w:t>
      </w:r>
      <w:r w:rsidR="00FB4DB4">
        <w:rPr>
          <w:rFonts w:asciiTheme="minorHAnsi" w:eastAsia="Times New Roman" w:hAnsiTheme="minorHAnsi" w:cs="Arial"/>
        </w:rPr>
        <w:t>ziekte-entiteit (</w:t>
      </w:r>
      <w:r>
        <w:rPr>
          <w:rFonts w:asciiTheme="minorHAnsi" w:eastAsia="Times New Roman" w:hAnsiTheme="minorHAnsi" w:cs="Arial"/>
        </w:rPr>
        <w:t xml:space="preserve">Joint </w:t>
      </w:r>
      <w:proofErr w:type="spellStart"/>
      <w:r>
        <w:rPr>
          <w:rFonts w:asciiTheme="minorHAnsi" w:eastAsia="Times New Roman" w:hAnsiTheme="minorHAnsi" w:cs="Arial"/>
        </w:rPr>
        <w:t>Task</w:t>
      </w:r>
      <w:proofErr w:type="spellEnd"/>
      <w:r>
        <w:rPr>
          <w:rFonts w:asciiTheme="minorHAnsi" w:eastAsia="Times New Roman" w:hAnsiTheme="minorHAnsi" w:cs="Arial"/>
        </w:rPr>
        <w:t xml:space="preserve"> Force of </w:t>
      </w:r>
      <w:proofErr w:type="spellStart"/>
      <w:r>
        <w:rPr>
          <w:rFonts w:asciiTheme="minorHAnsi" w:eastAsia="Times New Roman" w:hAnsiTheme="minorHAnsi" w:cs="Arial"/>
        </w:rPr>
        <w:t>the</w:t>
      </w:r>
      <w:proofErr w:type="spellEnd"/>
      <w:r>
        <w:rPr>
          <w:rFonts w:asciiTheme="minorHAnsi" w:eastAsia="Times New Roman" w:hAnsiTheme="minorHAnsi" w:cs="Arial"/>
        </w:rPr>
        <w:t xml:space="preserve"> EFNS). De klachten en de verschijnselen zijn meer van sensibele dan van motorisch en bij EMG onderzoek worden </w:t>
      </w:r>
      <w:proofErr w:type="spellStart"/>
      <w:r>
        <w:rPr>
          <w:rFonts w:asciiTheme="minorHAnsi" w:eastAsia="Times New Roman" w:hAnsiTheme="minorHAnsi" w:cs="Arial"/>
        </w:rPr>
        <w:t>mn</w:t>
      </w:r>
      <w:proofErr w:type="spellEnd"/>
      <w:r>
        <w:rPr>
          <w:rFonts w:asciiTheme="minorHAnsi" w:eastAsia="Times New Roman" w:hAnsiTheme="minorHAnsi" w:cs="Arial"/>
        </w:rPr>
        <w:t xml:space="preserve"> kenmerken van distale </w:t>
      </w:r>
      <w:proofErr w:type="spellStart"/>
      <w:r>
        <w:rPr>
          <w:rFonts w:asciiTheme="minorHAnsi" w:eastAsia="Times New Roman" w:hAnsiTheme="minorHAnsi" w:cs="Arial"/>
        </w:rPr>
        <w:t>demyel</w:t>
      </w:r>
      <w:r w:rsidR="00FB4DB4">
        <w:rPr>
          <w:rFonts w:asciiTheme="minorHAnsi" w:eastAsia="Times New Roman" w:hAnsiTheme="minorHAnsi" w:cs="Arial"/>
        </w:rPr>
        <w:t>inisatie</w:t>
      </w:r>
      <w:proofErr w:type="spellEnd"/>
      <w:r w:rsidR="00FB4DB4">
        <w:rPr>
          <w:rFonts w:asciiTheme="minorHAnsi" w:eastAsia="Times New Roman" w:hAnsiTheme="minorHAnsi" w:cs="Arial"/>
        </w:rPr>
        <w:t xml:space="preserve"> gevonden (</w:t>
      </w:r>
      <w:r w:rsidR="006A23B2">
        <w:rPr>
          <w:rFonts w:asciiTheme="minorHAnsi" w:eastAsia="Times New Roman" w:hAnsiTheme="minorHAnsi" w:cs="Arial"/>
        </w:rPr>
        <w:t>Franssen</w:t>
      </w:r>
      <w:r>
        <w:rPr>
          <w:rFonts w:asciiTheme="minorHAnsi" w:eastAsia="Times New Roman" w:hAnsiTheme="minorHAnsi" w:cs="Arial"/>
        </w:rPr>
        <w:t xml:space="preserve">). Bij neuropathologisch onderzoek kan er depositie van </w:t>
      </w:r>
      <w:proofErr w:type="spellStart"/>
      <w:r>
        <w:rPr>
          <w:rFonts w:asciiTheme="minorHAnsi" w:eastAsia="Times New Roman" w:hAnsiTheme="minorHAnsi" w:cs="Arial"/>
        </w:rPr>
        <w:t>IgM</w:t>
      </w:r>
      <w:proofErr w:type="spellEnd"/>
      <w:r>
        <w:rPr>
          <w:rFonts w:asciiTheme="minorHAnsi" w:eastAsia="Times New Roman" w:hAnsiTheme="minorHAnsi" w:cs="Arial"/>
        </w:rPr>
        <w:t xml:space="preserve"> op de zenuw worden aangetoond en zijn de myelinelamellen verwijd</w:t>
      </w:r>
      <w:r w:rsidR="00FB4DB4">
        <w:rPr>
          <w:rFonts w:asciiTheme="minorHAnsi" w:eastAsia="Times New Roman" w:hAnsiTheme="minorHAnsi" w:cs="Arial"/>
        </w:rPr>
        <w:t xml:space="preserve"> (Ritz)</w:t>
      </w:r>
      <w:r w:rsidRPr="00FB4DB4">
        <w:rPr>
          <w:rFonts w:asciiTheme="minorHAnsi" w:eastAsia="Times New Roman" w:hAnsiTheme="minorHAnsi" w:cs="Arial"/>
        </w:rPr>
        <w:t xml:space="preserve">. </w:t>
      </w:r>
      <w:r>
        <w:rPr>
          <w:rFonts w:asciiTheme="minorHAnsi" w:eastAsia="Times New Roman" w:hAnsiTheme="minorHAnsi" w:cs="Arial"/>
        </w:rPr>
        <w:t xml:space="preserve">Ook andere antilichamen zijn beschreven bij de </w:t>
      </w:r>
      <w:proofErr w:type="spellStart"/>
      <w:r>
        <w:rPr>
          <w:rFonts w:asciiTheme="minorHAnsi" w:eastAsia="Times New Roman" w:hAnsiTheme="minorHAnsi" w:cs="Arial"/>
        </w:rPr>
        <w:t>IgM</w:t>
      </w:r>
      <w:proofErr w:type="spellEnd"/>
      <w:r>
        <w:rPr>
          <w:rFonts w:asciiTheme="minorHAnsi" w:eastAsia="Times New Roman" w:hAnsiTheme="minorHAnsi" w:cs="Arial"/>
        </w:rPr>
        <w:t xml:space="preserve"> geassocieerde polyneuropathie</w:t>
      </w:r>
      <w:r w:rsidR="006A23B2">
        <w:rPr>
          <w:rFonts w:asciiTheme="minorHAnsi" w:eastAsia="Times New Roman" w:hAnsiTheme="minorHAnsi" w:cs="Arial"/>
        </w:rPr>
        <w:t xml:space="preserve"> (</w:t>
      </w:r>
      <w:proofErr w:type="spellStart"/>
      <w:r w:rsidR="006A23B2">
        <w:rPr>
          <w:rFonts w:asciiTheme="minorHAnsi" w:eastAsia="Times New Roman" w:hAnsiTheme="minorHAnsi" w:cs="Arial"/>
        </w:rPr>
        <w:t>Willison</w:t>
      </w:r>
      <w:proofErr w:type="spellEnd"/>
      <w:r w:rsidR="006A23B2">
        <w:rPr>
          <w:rFonts w:asciiTheme="minorHAnsi" w:eastAsia="Times New Roman" w:hAnsiTheme="minorHAnsi" w:cs="Arial"/>
        </w:rPr>
        <w:t>)</w:t>
      </w:r>
      <w:r>
        <w:rPr>
          <w:rFonts w:asciiTheme="minorHAnsi" w:eastAsia="Times New Roman" w:hAnsiTheme="minorHAnsi" w:cs="Arial"/>
        </w:rPr>
        <w:t>.</w:t>
      </w:r>
    </w:p>
    <w:p w:rsidR="00FB4DB4" w:rsidRDefault="00FB4DB4" w:rsidP="00FB4DB4">
      <w:pPr>
        <w:spacing w:after="75" w:line="346" w:lineRule="atLeast"/>
        <w:outlineLvl w:val="2"/>
        <w:rPr>
          <w:rFonts w:asciiTheme="minorHAnsi" w:eastAsia="Times New Roman" w:hAnsiTheme="minorHAnsi" w:cs="Arial"/>
        </w:rPr>
      </w:pPr>
    </w:p>
    <w:p w:rsidR="00D52E8B" w:rsidRDefault="00D52E8B" w:rsidP="00FB4DB4">
      <w:pPr>
        <w:spacing w:after="75" w:line="346" w:lineRule="atLeast"/>
        <w:outlineLvl w:val="2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  <w:b/>
          <w:iCs/>
        </w:rPr>
        <w:t xml:space="preserve">Indien een IgG of </w:t>
      </w:r>
      <w:proofErr w:type="spellStart"/>
      <w:r>
        <w:rPr>
          <w:rFonts w:asciiTheme="minorHAnsi" w:eastAsia="Times New Roman" w:hAnsiTheme="minorHAnsi" w:cs="Arial"/>
          <w:b/>
          <w:iCs/>
        </w:rPr>
        <w:t>IgA</w:t>
      </w:r>
      <w:proofErr w:type="spellEnd"/>
      <w:r>
        <w:rPr>
          <w:rFonts w:asciiTheme="minorHAnsi" w:eastAsia="Times New Roman" w:hAnsiTheme="minorHAnsi" w:cs="Arial"/>
          <w:b/>
          <w:iCs/>
        </w:rPr>
        <w:t xml:space="preserve"> </w:t>
      </w:r>
      <w:r>
        <w:rPr>
          <w:rFonts w:asciiTheme="minorHAnsi" w:eastAsia="Times New Roman" w:hAnsiTheme="minorHAnsi" w:cs="Arial"/>
          <w:b/>
        </w:rPr>
        <w:t>M-proteïne aanwezig is,</w:t>
      </w:r>
      <w:r>
        <w:rPr>
          <w:rFonts w:asciiTheme="minorHAnsi" w:eastAsia="Times New Roman" w:hAnsiTheme="minorHAnsi" w:cs="Arial"/>
        </w:rPr>
        <w:t xml:space="preserve"> verricht dan eerst een EMG.</w:t>
      </w:r>
    </w:p>
    <w:p w:rsidR="00D52E8B" w:rsidRDefault="00D52E8B" w:rsidP="00D52E8B">
      <w:pPr>
        <w:outlineLvl w:val="3"/>
        <w:rPr>
          <w:rFonts w:asciiTheme="minorHAnsi" w:eastAsia="Times New Roman" w:hAnsiTheme="minorHAnsi" w:cs="Arial"/>
          <w:iCs/>
        </w:rPr>
      </w:pPr>
      <w:r>
        <w:rPr>
          <w:rFonts w:asciiTheme="minorHAnsi" w:eastAsia="Times New Roman" w:hAnsiTheme="minorHAnsi" w:cs="Arial"/>
        </w:rPr>
        <w:t xml:space="preserve">Bij een </w:t>
      </w:r>
      <w:proofErr w:type="spellStart"/>
      <w:r>
        <w:rPr>
          <w:rFonts w:asciiTheme="minorHAnsi" w:eastAsia="Times New Roman" w:hAnsiTheme="minorHAnsi" w:cs="Arial"/>
        </w:rPr>
        <w:t>demyeliniserende</w:t>
      </w:r>
      <w:proofErr w:type="spellEnd"/>
      <w:r>
        <w:rPr>
          <w:rFonts w:asciiTheme="minorHAnsi" w:eastAsia="Times New Roman" w:hAnsiTheme="minorHAnsi" w:cs="Arial"/>
        </w:rPr>
        <w:t xml:space="preserve"> polyneuropathie, denk aan een CIDP of POEMS.</w:t>
      </w:r>
    </w:p>
    <w:p w:rsidR="00E87E6E" w:rsidRDefault="00D52E8B" w:rsidP="00D52E8B">
      <w:pPr>
        <w:outlineLvl w:val="3"/>
        <w:rPr>
          <w:rFonts w:asciiTheme="minorHAnsi" w:eastAsia="Times New Roman" w:hAnsiTheme="minorHAnsi" w:cs="Arial"/>
          <w:iCs/>
        </w:rPr>
      </w:pPr>
      <w:r>
        <w:rPr>
          <w:rFonts w:asciiTheme="minorHAnsi" w:eastAsia="Times New Roman" w:hAnsiTheme="minorHAnsi" w:cs="Arial"/>
          <w:iCs/>
        </w:rPr>
        <w:t xml:space="preserve">Bij een </w:t>
      </w:r>
      <w:proofErr w:type="spellStart"/>
      <w:r>
        <w:rPr>
          <w:rFonts w:asciiTheme="minorHAnsi" w:eastAsia="Times New Roman" w:hAnsiTheme="minorHAnsi" w:cs="Arial"/>
          <w:iCs/>
        </w:rPr>
        <w:t>axonale</w:t>
      </w:r>
      <w:proofErr w:type="spellEnd"/>
      <w:r>
        <w:rPr>
          <w:rFonts w:asciiTheme="minorHAnsi" w:eastAsia="Times New Roman" w:hAnsiTheme="minorHAnsi" w:cs="Arial"/>
          <w:iCs/>
        </w:rPr>
        <w:t xml:space="preserve"> polyneuropathie, denk aan een cryoglobulinemie, vasculitis, ziekte van </w:t>
      </w:r>
      <w:proofErr w:type="spellStart"/>
      <w:r>
        <w:rPr>
          <w:rFonts w:asciiTheme="minorHAnsi" w:eastAsia="Times New Roman" w:hAnsiTheme="minorHAnsi" w:cs="Arial"/>
          <w:iCs/>
        </w:rPr>
        <w:t>Castleman</w:t>
      </w:r>
      <w:proofErr w:type="spellEnd"/>
      <w:r>
        <w:rPr>
          <w:rFonts w:asciiTheme="minorHAnsi" w:eastAsia="Times New Roman" w:hAnsiTheme="minorHAnsi" w:cs="Arial"/>
          <w:iCs/>
        </w:rPr>
        <w:t xml:space="preserve"> of </w:t>
      </w:r>
      <w:proofErr w:type="spellStart"/>
      <w:r>
        <w:rPr>
          <w:rFonts w:asciiTheme="minorHAnsi" w:eastAsia="Times New Roman" w:hAnsiTheme="minorHAnsi" w:cs="Arial"/>
          <w:iCs/>
        </w:rPr>
        <w:t>amyloid</w:t>
      </w:r>
      <w:proofErr w:type="spellEnd"/>
      <w:r>
        <w:rPr>
          <w:rFonts w:asciiTheme="minorHAnsi" w:eastAsia="Times New Roman" w:hAnsiTheme="minorHAnsi" w:cs="Arial"/>
          <w:iCs/>
        </w:rPr>
        <w:t xml:space="preserve"> neuropathie. </w:t>
      </w:r>
    </w:p>
    <w:p w:rsidR="00FB4DB4" w:rsidRPr="00FB4DB4" w:rsidRDefault="00D52E8B" w:rsidP="00D52E8B">
      <w:pPr>
        <w:outlineLvl w:val="3"/>
        <w:rPr>
          <w:rFonts w:asciiTheme="minorHAnsi" w:hAnsiTheme="minorHAnsi" w:cs="OTNEJMScalaSansLFSmallCap"/>
          <w:lang w:eastAsia="en-US"/>
        </w:rPr>
      </w:pPr>
      <w:r>
        <w:rPr>
          <w:rFonts w:asciiTheme="minorHAnsi" w:eastAsia="Times New Roman" w:hAnsiTheme="minorHAnsi" w:cs="Arial"/>
          <w:iCs/>
        </w:rPr>
        <w:t xml:space="preserve">Er kan ook sprake zijn van coïncidentie, met name bij het </w:t>
      </w:r>
      <w:r w:rsidRPr="00FB4DB4">
        <w:rPr>
          <w:rFonts w:asciiTheme="minorHAnsi" w:eastAsia="Times New Roman" w:hAnsiTheme="minorHAnsi" w:cs="Arial"/>
          <w:iCs/>
        </w:rPr>
        <w:t>stijgen van de leeftijd</w:t>
      </w:r>
      <w:r w:rsidR="006A23B2" w:rsidRPr="00FB4DB4">
        <w:rPr>
          <w:rFonts w:asciiTheme="minorHAnsi" w:eastAsia="Times New Roman" w:hAnsiTheme="minorHAnsi" w:cs="Arial"/>
          <w:iCs/>
        </w:rPr>
        <w:t xml:space="preserve"> (</w:t>
      </w:r>
      <w:proofErr w:type="spellStart"/>
      <w:r w:rsidR="00E87E6E">
        <w:rPr>
          <w:rFonts w:asciiTheme="minorHAnsi" w:hAnsiTheme="minorHAnsi" w:cs="OTNEJMScalaSansLFCap"/>
          <w:lang w:eastAsia="en-US"/>
        </w:rPr>
        <w:t>Kyle</w:t>
      </w:r>
      <w:proofErr w:type="spellEnd"/>
      <w:r w:rsidR="00E87E6E">
        <w:rPr>
          <w:rFonts w:asciiTheme="minorHAnsi" w:hAnsiTheme="minorHAnsi" w:cs="OTNEJMScalaSansLFCap"/>
          <w:lang w:eastAsia="en-US"/>
        </w:rPr>
        <w:t>).</w:t>
      </w:r>
    </w:p>
    <w:p w:rsidR="00FB4DB4" w:rsidRPr="00FB4DB4" w:rsidRDefault="00FB4DB4" w:rsidP="00D52E8B">
      <w:pPr>
        <w:outlineLvl w:val="3"/>
        <w:rPr>
          <w:rFonts w:asciiTheme="minorHAnsi" w:hAnsiTheme="minorHAnsi" w:cs="OTNEJMScalaSansLFSmallCap"/>
          <w:lang w:eastAsia="en-US"/>
        </w:rPr>
      </w:pPr>
    </w:p>
    <w:p w:rsidR="00D52E8B" w:rsidRPr="00FB4DB4" w:rsidRDefault="00FB4DB4" w:rsidP="00D52E8B">
      <w:pPr>
        <w:outlineLvl w:val="3"/>
        <w:rPr>
          <w:rFonts w:asciiTheme="minorHAnsi" w:eastAsia="Times New Roman" w:hAnsiTheme="minorHAnsi" w:cs="Arial"/>
          <w:iCs/>
        </w:rPr>
      </w:pPr>
      <w:r w:rsidRPr="00FB4DB4">
        <w:rPr>
          <w:rFonts w:asciiTheme="minorHAnsi" w:hAnsiTheme="minorHAnsi" w:cs="OTNEJMScalaSansLFSmallCap"/>
          <w:lang w:eastAsia="en-US"/>
        </w:rPr>
        <w:t xml:space="preserve">Zie ook </w:t>
      </w:r>
      <w:r w:rsidR="006A23B2" w:rsidRPr="00FB4DB4">
        <w:rPr>
          <w:rFonts w:asciiTheme="minorHAnsi" w:eastAsia="Times New Roman" w:hAnsiTheme="minorHAnsi" w:cs="Arial"/>
          <w:iCs/>
        </w:rPr>
        <w:t xml:space="preserve">Richtlijn monoclonale </w:t>
      </w:r>
      <w:proofErr w:type="spellStart"/>
      <w:r w:rsidR="006A23B2" w:rsidRPr="00FB4DB4">
        <w:rPr>
          <w:rFonts w:asciiTheme="minorHAnsi" w:eastAsia="Times New Roman" w:hAnsiTheme="minorHAnsi" w:cs="Arial"/>
          <w:iCs/>
        </w:rPr>
        <w:t>gammopathie</w:t>
      </w:r>
      <w:proofErr w:type="spellEnd"/>
      <w:r w:rsidR="006A23B2" w:rsidRPr="00FB4DB4">
        <w:rPr>
          <w:rFonts w:asciiTheme="minorHAnsi" w:eastAsia="Times New Roman" w:hAnsiTheme="minorHAnsi" w:cs="Arial"/>
          <w:iCs/>
        </w:rPr>
        <w:t xml:space="preserve"> 2001</w:t>
      </w:r>
      <w:r w:rsidRPr="00FB4DB4">
        <w:rPr>
          <w:rFonts w:asciiTheme="minorHAnsi" w:eastAsia="Times New Roman" w:hAnsiTheme="minorHAnsi" w:cs="Arial"/>
          <w:iCs/>
        </w:rPr>
        <w:t xml:space="preserve"> Kwaliteitsinstituut</w:t>
      </w:r>
      <w:r w:rsidR="00D52E8B" w:rsidRPr="00FB4DB4">
        <w:rPr>
          <w:rFonts w:asciiTheme="minorHAnsi" w:eastAsia="Times New Roman" w:hAnsiTheme="minorHAnsi" w:cs="Arial"/>
          <w:iCs/>
        </w:rPr>
        <w:t>.</w:t>
      </w:r>
    </w:p>
    <w:p w:rsidR="00FB4DB4" w:rsidRDefault="00FB4DB4" w:rsidP="00D52E8B">
      <w:pPr>
        <w:outlineLvl w:val="3"/>
        <w:rPr>
          <w:rFonts w:asciiTheme="minorHAnsi" w:eastAsia="Times New Roman" w:hAnsiTheme="minorHAnsi" w:cs="Arial"/>
          <w:iCs/>
        </w:rPr>
      </w:pPr>
    </w:p>
    <w:p w:rsidR="00D52E8B" w:rsidRDefault="00D52E8B" w:rsidP="00D52E8B">
      <w:pPr>
        <w:outlineLvl w:val="3"/>
        <w:rPr>
          <w:rFonts w:asciiTheme="minorHAnsi" w:eastAsia="Times New Roman" w:hAnsiTheme="minorHAnsi" w:cs="Arial"/>
          <w:b/>
          <w:iCs/>
        </w:rPr>
      </w:pPr>
    </w:p>
    <w:p w:rsidR="00D52E8B" w:rsidRDefault="003D28E6" w:rsidP="003D28E6">
      <w:pPr>
        <w:ind w:left="720" w:hanging="720"/>
        <w:rPr>
          <w:rFonts w:asciiTheme="minorHAnsi" w:hAnsiTheme="minorHAnsi"/>
          <w:noProof/>
          <w:color w:val="595959" w:themeColor="text1" w:themeTint="A6"/>
          <w:lang w:val="en-US"/>
        </w:rPr>
      </w:pPr>
      <w:r w:rsidRPr="003D28E6">
        <w:rPr>
          <w:rFonts w:asciiTheme="minorHAnsi" w:hAnsiTheme="minorHAnsi"/>
          <w:noProof/>
          <w:color w:val="595959" w:themeColor="text1" w:themeTint="A6"/>
          <w:lang w:val="en-US"/>
        </w:rPr>
        <w:t>Ref</w:t>
      </w:r>
      <w:r w:rsidRPr="003D28E6">
        <w:rPr>
          <w:rFonts w:asciiTheme="minorHAnsi" w:hAnsiTheme="minorHAnsi"/>
          <w:noProof/>
          <w:color w:val="595959" w:themeColor="text1" w:themeTint="A6"/>
          <w:lang w:val="en-US"/>
        </w:rPr>
        <w:tab/>
        <w:t xml:space="preserve">Ropper AH, Gorson KC. </w:t>
      </w:r>
      <w:r>
        <w:rPr>
          <w:rFonts w:asciiTheme="minorHAnsi" w:hAnsiTheme="minorHAnsi"/>
          <w:noProof/>
          <w:color w:val="595959" w:themeColor="text1" w:themeTint="A6"/>
          <w:lang w:val="en-US"/>
        </w:rPr>
        <w:t xml:space="preserve">Neuropathies associated with paraproteinemia. N Engl </w:t>
      </w:r>
      <w:r w:rsidR="00FB4DB4">
        <w:rPr>
          <w:rFonts w:asciiTheme="minorHAnsi" w:hAnsiTheme="minorHAnsi"/>
          <w:noProof/>
          <w:color w:val="595959" w:themeColor="text1" w:themeTint="A6"/>
          <w:lang w:val="en-US"/>
        </w:rPr>
        <w:t xml:space="preserve">J </w:t>
      </w:r>
      <w:r>
        <w:rPr>
          <w:rFonts w:asciiTheme="minorHAnsi" w:hAnsiTheme="minorHAnsi"/>
          <w:noProof/>
          <w:color w:val="595959" w:themeColor="text1" w:themeTint="A6"/>
          <w:lang w:val="en-US"/>
        </w:rPr>
        <w:t>Med 1998;338:1601-7</w:t>
      </w:r>
    </w:p>
    <w:p w:rsidR="006A23B2" w:rsidRDefault="006A23B2" w:rsidP="003D28E6">
      <w:pPr>
        <w:ind w:left="720" w:hanging="720"/>
        <w:rPr>
          <w:rFonts w:asciiTheme="minorHAnsi" w:hAnsiTheme="minorHAnsi"/>
          <w:noProof/>
          <w:color w:val="595959" w:themeColor="text1" w:themeTint="A6"/>
          <w:lang w:val="en-US"/>
        </w:rPr>
      </w:pPr>
    </w:p>
    <w:p w:rsidR="006A23B2" w:rsidRPr="006A23B2" w:rsidRDefault="006A23B2" w:rsidP="003D28E6">
      <w:pPr>
        <w:ind w:left="720" w:hanging="720"/>
        <w:rPr>
          <w:rFonts w:asciiTheme="minorHAnsi" w:hAnsiTheme="minorHAnsi"/>
          <w:noProof/>
          <w:color w:val="595959" w:themeColor="text1" w:themeTint="A6"/>
          <w:lang w:val="en-US"/>
        </w:rPr>
      </w:pPr>
      <w:r w:rsidRPr="006A23B2">
        <w:rPr>
          <w:rFonts w:asciiTheme="minorHAnsi" w:hAnsiTheme="minorHAnsi"/>
          <w:noProof/>
          <w:color w:val="595959" w:themeColor="text1" w:themeTint="A6"/>
        </w:rPr>
        <w:t>Ref</w:t>
      </w:r>
      <w:r w:rsidRPr="006A23B2">
        <w:rPr>
          <w:rFonts w:asciiTheme="minorHAnsi" w:hAnsiTheme="minorHAnsi"/>
          <w:noProof/>
          <w:color w:val="595959" w:themeColor="text1" w:themeTint="A6"/>
        </w:rPr>
        <w:tab/>
        <w:t xml:space="preserve">Kyle RA et al. </w:t>
      </w:r>
      <w:r w:rsidRPr="006A23B2">
        <w:rPr>
          <w:rFonts w:asciiTheme="minorHAnsi" w:hAnsiTheme="minorHAnsi"/>
          <w:noProof/>
          <w:color w:val="595959" w:themeColor="text1" w:themeTint="A6"/>
          <w:lang w:val="en-US"/>
        </w:rPr>
        <w:t>Magement of monoc</w:t>
      </w:r>
      <w:r>
        <w:rPr>
          <w:rFonts w:asciiTheme="minorHAnsi" w:hAnsiTheme="minorHAnsi"/>
          <w:noProof/>
          <w:color w:val="595959" w:themeColor="text1" w:themeTint="A6"/>
          <w:lang w:val="en-US"/>
        </w:rPr>
        <w:t>lonal gammopathy of undetermind</w:t>
      </w:r>
      <w:r w:rsidRPr="006A23B2">
        <w:rPr>
          <w:rFonts w:asciiTheme="minorHAnsi" w:hAnsiTheme="minorHAnsi"/>
          <w:noProof/>
          <w:color w:val="595959" w:themeColor="text1" w:themeTint="A6"/>
          <w:lang w:val="en-US"/>
        </w:rPr>
        <w:t xml:space="preserve"> significance (MGUS)</w:t>
      </w:r>
      <w:r>
        <w:rPr>
          <w:rFonts w:asciiTheme="minorHAnsi" w:hAnsiTheme="minorHAnsi"/>
          <w:noProof/>
          <w:color w:val="595959" w:themeColor="text1" w:themeTint="A6"/>
          <w:lang w:val="en-US"/>
        </w:rPr>
        <w:t xml:space="preserve"> and smoldering myeloma (SSM). Oncology 2011;25(7)578-86</w:t>
      </w:r>
    </w:p>
    <w:p w:rsidR="003D28E6" w:rsidRPr="006A23B2" w:rsidRDefault="003D28E6" w:rsidP="003D28E6">
      <w:pPr>
        <w:ind w:left="720" w:hanging="720"/>
        <w:rPr>
          <w:rFonts w:asciiTheme="minorHAnsi" w:hAnsiTheme="minorHAnsi"/>
          <w:noProof/>
          <w:color w:val="595959" w:themeColor="text1" w:themeTint="A6"/>
          <w:lang w:val="en-US"/>
        </w:rPr>
      </w:pPr>
    </w:p>
    <w:p w:rsidR="00D52E8B" w:rsidRDefault="003D28E6" w:rsidP="003D28E6">
      <w:pPr>
        <w:ind w:left="705" w:hanging="705"/>
        <w:rPr>
          <w:rFonts w:asciiTheme="minorHAnsi" w:hAnsiTheme="minorHAnsi"/>
          <w:noProof/>
          <w:color w:val="595959" w:themeColor="text1" w:themeTint="A6"/>
          <w:lang w:val="en-US"/>
        </w:rPr>
      </w:pPr>
      <w:r w:rsidRPr="003D28E6">
        <w:rPr>
          <w:rFonts w:asciiTheme="minorHAnsi" w:hAnsiTheme="minorHAnsi"/>
          <w:noProof/>
          <w:color w:val="595959" w:themeColor="text1" w:themeTint="A6"/>
        </w:rPr>
        <w:t>Ref</w:t>
      </w:r>
      <w:r w:rsidRPr="003D28E6">
        <w:rPr>
          <w:rFonts w:asciiTheme="minorHAnsi" w:hAnsiTheme="minorHAnsi"/>
          <w:noProof/>
          <w:color w:val="595959" w:themeColor="text1" w:themeTint="A6"/>
        </w:rPr>
        <w:tab/>
        <w:t>Eurelings M</w:t>
      </w:r>
      <w:r w:rsidR="00D52E8B" w:rsidRPr="003D28E6">
        <w:rPr>
          <w:rFonts w:asciiTheme="minorHAnsi" w:hAnsiTheme="minorHAnsi"/>
          <w:noProof/>
          <w:color w:val="595959" w:themeColor="text1" w:themeTint="A6"/>
        </w:rPr>
        <w:t xml:space="preserve"> et al</w:t>
      </w:r>
      <w:r w:rsidRPr="003D28E6">
        <w:rPr>
          <w:rFonts w:asciiTheme="minorHAnsi" w:hAnsiTheme="minorHAnsi"/>
          <w:noProof/>
          <w:color w:val="595959" w:themeColor="text1" w:themeTint="A6"/>
        </w:rPr>
        <w:t>.</w:t>
      </w:r>
      <w:r w:rsidR="00D52E8B" w:rsidRPr="003D28E6">
        <w:rPr>
          <w:rFonts w:asciiTheme="minorHAnsi" w:hAnsiTheme="minorHAnsi"/>
          <w:noProof/>
          <w:color w:val="595959" w:themeColor="text1" w:themeTint="A6"/>
        </w:rPr>
        <w:t xml:space="preserve"> </w:t>
      </w:r>
      <w:r w:rsidR="00D52E8B">
        <w:rPr>
          <w:rFonts w:asciiTheme="minorHAnsi" w:hAnsiTheme="minorHAnsi"/>
          <w:noProof/>
          <w:color w:val="595959" w:themeColor="text1" w:themeTint="A6"/>
          <w:lang w:val="en-US"/>
        </w:rPr>
        <w:t xml:space="preserve">Malignant transformation in polyneuropathy associated with monoclonal gammopathy. </w:t>
      </w:r>
      <w:r>
        <w:rPr>
          <w:rFonts w:asciiTheme="minorHAnsi" w:hAnsiTheme="minorHAnsi"/>
          <w:noProof/>
          <w:color w:val="595959" w:themeColor="text1" w:themeTint="A6"/>
          <w:lang w:val="en-US"/>
        </w:rPr>
        <w:t>Neurology</w:t>
      </w:r>
      <w:r w:rsidR="00D52E8B" w:rsidRPr="00D52E8B">
        <w:rPr>
          <w:rFonts w:asciiTheme="minorHAnsi" w:hAnsiTheme="minorHAnsi"/>
          <w:noProof/>
          <w:color w:val="595959" w:themeColor="text1" w:themeTint="A6"/>
          <w:lang w:val="en-US"/>
        </w:rPr>
        <w:t xml:space="preserve"> 2005</w:t>
      </w:r>
      <w:r>
        <w:rPr>
          <w:rFonts w:asciiTheme="minorHAnsi" w:hAnsiTheme="minorHAnsi"/>
          <w:noProof/>
          <w:color w:val="595959" w:themeColor="text1" w:themeTint="A6"/>
          <w:lang w:val="en-US"/>
        </w:rPr>
        <w:t>;</w:t>
      </w:r>
      <w:r w:rsidR="00D52E8B" w:rsidRPr="00D52E8B">
        <w:rPr>
          <w:rFonts w:asciiTheme="minorHAnsi" w:hAnsiTheme="minorHAnsi"/>
          <w:noProof/>
          <w:color w:val="595959" w:themeColor="text1" w:themeTint="A6"/>
          <w:lang w:val="en-US"/>
        </w:rPr>
        <w:t xml:space="preserve"> 64(12): 2079-84</w:t>
      </w:r>
    </w:p>
    <w:p w:rsidR="00CF75EB" w:rsidRPr="00D52E8B" w:rsidRDefault="00CF75EB" w:rsidP="003D28E6">
      <w:pPr>
        <w:ind w:left="705" w:hanging="705"/>
        <w:rPr>
          <w:rFonts w:asciiTheme="minorHAnsi" w:hAnsiTheme="minorHAnsi"/>
          <w:noProof/>
          <w:color w:val="595959" w:themeColor="text1" w:themeTint="A6"/>
          <w:lang w:val="en-US"/>
        </w:rPr>
      </w:pPr>
    </w:p>
    <w:p w:rsidR="00D52E8B" w:rsidRPr="00CF75EB" w:rsidRDefault="00CF75EB" w:rsidP="00CF75EB">
      <w:pPr>
        <w:shd w:val="clear" w:color="auto" w:fill="FFFFFF"/>
        <w:ind w:left="705" w:hanging="705"/>
        <w:rPr>
          <w:rFonts w:asciiTheme="minorHAnsi" w:eastAsia="Times New Roman" w:hAnsiTheme="minorHAnsi" w:cs="Arial"/>
          <w:color w:val="595959" w:themeColor="text1" w:themeTint="A6"/>
          <w:lang w:val="en-US"/>
        </w:rPr>
      </w:pPr>
      <w:r w:rsidRPr="00CF75EB">
        <w:rPr>
          <w:rFonts w:asciiTheme="minorHAnsi" w:eastAsia="Times New Roman" w:hAnsiTheme="minorHAnsi" w:cs="Arial"/>
          <w:color w:val="595959" w:themeColor="text1" w:themeTint="A6"/>
          <w:lang w:val="en-US"/>
        </w:rPr>
        <w:t>Ref</w:t>
      </w:r>
      <w:r w:rsidRPr="00CF75EB">
        <w:rPr>
          <w:rFonts w:asciiTheme="minorHAnsi" w:eastAsia="Times New Roman" w:hAnsiTheme="minorHAnsi" w:cs="Arial"/>
          <w:color w:val="595959" w:themeColor="text1" w:themeTint="A6"/>
          <w:lang w:val="en-US"/>
        </w:rPr>
        <w:tab/>
      </w:r>
      <w:hyperlink r:id="rId5" w:history="1">
        <w:r w:rsidRPr="00CF75EB">
          <w:rPr>
            <w:rFonts w:asciiTheme="minorHAnsi" w:eastAsia="Times New Roman" w:hAnsiTheme="minorHAnsi" w:cs="Arial"/>
            <w:color w:val="595959" w:themeColor="text1" w:themeTint="A6"/>
            <w:lang w:val="en-US"/>
          </w:rPr>
          <w:t>Pruppers MHJ</w:t>
        </w:r>
      </w:hyperlink>
      <w:r w:rsidRPr="00CF75EB">
        <w:rPr>
          <w:rFonts w:asciiTheme="minorHAnsi" w:eastAsia="Times New Roman" w:hAnsiTheme="minorHAnsi" w:cs="Arial"/>
          <w:color w:val="595959" w:themeColor="text1" w:themeTint="A6"/>
          <w:lang w:val="en-US"/>
        </w:rPr>
        <w:t xml:space="preserve"> et al. </w:t>
      </w:r>
      <w:r w:rsidRPr="00CF75EB">
        <w:rPr>
          <w:rFonts w:asciiTheme="minorHAnsi" w:eastAsia="Times New Roman" w:hAnsiTheme="minorHAnsi" w:cs="Arial"/>
          <w:bCs/>
          <w:color w:val="595959" w:themeColor="text1" w:themeTint="A6"/>
          <w:kern w:val="36"/>
          <w:lang w:val="en-US"/>
        </w:rPr>
        <w:t xml:space="preserve">230th ENMC International Workshop:: Improving future assessment and research in IgM anti-MAG peripheral neuropathy: A consensus collaborative effort, </w:t>
      </w:r>
      <w:proofErr w:type="spellStart"/>
      <w:r w:rsidRPr="00CF75EB">
        <w:rPr>
          <w:rFonts w:asciiTheme="minorHAnsi" w:eastAsia="Times New Roman" w:hAnsiTheme="minorHAnsi" w:cs="Arial"/>
          <w:bCs/>
          <w:color w:val="595959" w:themeColor="text1" w:themeTint="A6"/>
          <w:kern w:val="36"/>
          <w:lang w:val="en-US"/>
        </w:rPr>
        <w:lastRenderedPageBreak/>
        <w:t>Naarden</w:t>
      </w:r>
      <w:proofErr w:type="spellEnd"/>
      <w:r w:rsidRPr="00CF75EB">
        <w:rPr>
          <w:rFonts w:asciiTheme="minorHAnsi" w:eastAsia="Times New Roman" w:hAnsiTheme="minorHAnsi" w:cs="Arial"/>
          <w:bCs/>
          <w:color w:val="595959" w:themeColor="text1" w:themeTint="A6"/>
          <w:kern w:val="36"/>
          <w:lang w:val="en-US"/>
        </w:rPr>
        <w:t>, The Netherlands, 24-26 February 2017.</w:t>
      </w:r>
      <w:r w:rsidRPr="00CF75EB">
        <w:rPr>
          <w:rFonts w:asciiTheme="minorHAnsi" w:eastAsia="Times New Roman" w:hAnsiTheme="minorHAnsi" w:cs="Arial"/>
          <w:bCs/>
          <w:color w:val="595959" w:themeColor="text1" w:themeTint="A6"/>
          <w:kern w:val="36"/>
          <w:lang w:val="en-US"/>
        </w:rPr>
        <w:t xml:space="preserve"> </w:t>
      </w:r>
      <w:hyperlink r:id="rId6" w:tooltip="Neuromuscular disorders : NMD." w:history="1">
        <w:proofErr w:type="spellStart"/>
        <w:r w:rsidRPr="00CF75EB">
          <w:rPr>
            <w:rFonts w:asciiTheme="minorHAnsi" w:eastAsia="Times New Roman" w:hAnsiTheme="minorHAnsi" w:cs="Arial"/>
            <w:color w:val="595959" w:themeColor="text1" w:themeTint="A6"/>
            <w:lang w:val="en-US"/>
          </w:rPr>
          <w:t>Neur</w:t>
        </w:r>
        <w:bookmarkStart w:id="0" w:name="_GoBack"/>
        <w:bookmarkEnd w:id="0"/>
        <w:r w:rsidRPr="00CF75EB">
          <w:rPr>
            <w:rFonts w:asciiTheme="minorHAnsi" w:eastAsia="Times New Roman" w:hAnsiTheme="minorHAnsi" w:cs="Arial"/>
            <w:color w:val="595959" w:themeColor="text1" w:themeTint="A6"/>
            <w:lang w:val="en-US"/>
          </w:rPr>
          <w:t>omuscul</w:t>
        </w:r>
        <w:proofErr w:type="spellEnd"/>
        <w:r w:rsidRPr="00CF75EB">
          <w:rPr>
            <w:rFonts w:asciiTheme="minorHAnsi" w:eastAsia="Times New Roman" w:hAnsiTheme="minorHAnsi" w:cs="Arial"/>
            <w:color w:val="595959" w:themeColor="text1" w:themeTint="A6"/>
            <w:lang w:val="en-US"/>
          </w:rPr>
          <w:t xml:space="preserve"> </w:t>
        </w:r>
        <w:proofErr w:type="spellStart"/>
        <w:r w:rsidRPr="00CF75EB">
          <w:rPr>
            <w:rFonts w:asciiTheme="minorHAnsi" w:eastAsia="Times New Roman" w:hAnsiTheme="minorHAnsi" w:cs="Arial"/>
            <w:color w:val="595959" w:themeColor="text1" w:themeTint="A6"/>
            <w:lang w:val="en-US"/>
          </w:rPr>
          <w:t>Disord</w:t>
        </w:r>
        <w:proofErr w:type="spellEnd"/>
      </w:hyperlink>
      <w:r w:rsidRPr="00CF75EB">
        <w:rPr>
          <w:rFonts w:asciiTheme="minorHAnsi" w:eastAsia="Times New Roman" w:hAnsiTheme="minorHAnsi" w:cs="Arial"/>
          <w:color w:val="595959" w:themeColor="text1" w:themeTint="A6"/>
          <w:lang w:val="en-US"/>
        </w:rPr>
        <w:t xml:space="preserve"> 2017; 27(11): 1065-72.</w:t>
      </w:r>
    </w:p>
    <w:p w:rsidR="00CF75EB" w:rsidRPr="00D52E8B" w:rsidRDefault="00CF75EB" w:rsidP="00CF75EB">
      <w:pPr>
        <w:shd w:val="clear" w:color="auto" w:fill="FFFFFF"/>
        <w:ind w:left="705" w:hanging="705"/>
        <w:rPr>
          <w:rFonts w:asciiTheme="minorHAnsi" w:hAnsiTheme="minorHAnsi" w:cstheme="minorBidi"/>
          <w:color w:val="595959" w:themeColor="text1" w:themeTint="A6"/>
          <w:sz w:val="22"/>
          <w:szCs w:val="22"/>
          <w:lang w:val="en-US"/>
        </w:rPr>
      </w:pPr>
    </w:p>
    <w:p w:rsidR="00D52E8B" w:rsidRDefault="00D52E8B" w:rsidP="00D52E8B">
      <w:pPr>
        <w:spacing w:after="240" w:line="330" w:lineRule="atLeast"/>
        <w:ind w:left="705" w:hanging="705"/>
        <w:rPr>
          <w:rFonts w:asciiTheme="minorHAnsi" w:eastAsia="Times New Roman" w:hAnsiTheme="minorHAnsi"/>
          <w:color w:val="595959" w:themeColor="text1" w:themeTint="A6"/>
          <w:lang w:val="en"/>
        </w:rPr>
      </w:pPr>
      <w:r w:rsidRPr="00CF75EB">
        <w:rPr>
          <w:rFonts w:asciiTheme="minorHAnsi" w:eastAsia="Times New Roman" w:hAnsiTheme="minorHAnsi"/>
          <w:color w:val="595959" w:themeColor="text1" w:themeTint="A6"/>
        </w:rPr>
        <w:t xml:space="preserve">Ref </w:t>
      </w:r>
      <w:r w:rsidRPr="00CF75EB">
        <w:rPr>
          <w:rFonts w:asciiTheme="minorHAnsi" w:eastAsia="Times New Roman" w:hAnsiTheme="minorHAnsi"/>
          <w:color w:val="595959" w:themeColor="text1" w:themeTint="A6"/>
        </w:rPr>
        <w:tab/>
      </w:r>
      <w:proofErr w:type="spellStart"/>
      <w:r w:rsidRPr="00CF75EB">
        <w:rPr>
          <w:rFonts w:asciiTheme="minorHAnsi" w:eastAsia="Times New Roman" w:hAnsiTheme="minorHAnsi"/>
          <w:color w:val="595959" w:themeColor="text1" w:themeTint="A6"/>
        </w:rPr>
        <w:t>Kuijf</w:t>
      </w:r>
      <w:proofErr w:type="spellEnd"/>
      <w:r w:rsidR="003D28E6" w:rsidRPr="00CF75EB">
        <w:rPr>
          <w:rFonts w:asciiTheme="minorHAnsi" w:eastAsia="Times New Roman" w:hAnsiTheme="minorHAnsi"/>
          <w:color w:val="595959" w:themeColor="text1" w:themeTint="A6"/>
        </w:rPr>
        <w:t xml:space="preserve"> ML et al. </w:t>
      </w:r>
      <w:r w:rsidR="003D28E6">
        <w:rPr>
          <w:rFonts w:asciiTheme="minorHAnsi" w:eastAsia="Times New Roman" w:hAnsiTheme="minorHAnsi"/>
          <w:color w:val="595959" w:themeColor="text1" w:themeTint="A6"/>
          <w:lang w:val="en"/>
        </w:rPr>
        <w:t xml:space="preserve">Detection of </w:t>
      </w:r>
      <w:proofErr w:type="spellStart"/>
      <w:r w:rsidR="003D28E6">
        <w:rPr>
          <w:rFonts w:asciiTheme="minorHAnsi" w:eastAsia="Times New Roman" w:hAnsiTheme="minorHAnsi"/>
          <w:color w:val="595959" w:themeColor="text1" w:themeTint="A6"/>
          <w:lang w:val="en"/>
        </w:rPr>
        <w:t>antiMAG</w:t>
      </w:r>
      <w:proofErr w:type="spellEnd"/>
      <w:r w:rsidR="003D28E6">
        <w:rPr>
          <w:rFonts w:asciiTheme="minorHAnsi" w:eastAsia="Times New Roman" w:hAnsiTheme="minorHAnsi"/>
          <w:color w:val="595959" w:themeColor="text1" w:themeTint="A6"/>
          <w:lang w:val="en"/>
        </w:rPr>
        <w:t xml:space="preserve"> antibodies associated with IgM monoclonal </w:t>
      </w:r>
      <w:proofErr w:type="spellStart"/>
      <w:r w:rsidR="003D28E6">
        <w:rPr>
          <w:rFonts w:asciiTheme="minorHAnsi" w:eastAsia="Times New Roman" w:hAnsiTheme="minorHAnsi"/>
          <w:color w:val="595959" w:themeColor="text1" w:themeTint="A6"/>
          <w:lang w:val="en"/>
        </w:rPr>
        <w:t>gammopathy</w:t>
      </w:r>
      <w:proofErr w:type="spellEnd"/>
      <w:r w:rsidR="003D28E6">
        <w:rPr>
          <w:rFonts w:asciiTheme="minorHAnsi" w:eastAsia="Times New Roman" w:hAnsiTheme="minorHAnsi"/>
          <w:color w:val="595959" w:themeColor="text1" w:themeTint="A6"/>
          <w:lang w:val="en"/>
        </w:rPr>
        <w:t>. Neurology 2009; 1, 73(9)688-95</w:t>
      </w:r>
    </w:p>
    <w:p w:rsidR="00D52E8B" w:rsidRPr="006A23B2" w:rsidRDefault="00D52E8B" w:rsidP="00D52E8B">
      <w:pPr>
        <w:spacing w:after="240" w:line="330" w:lineRule="atLeast"/>
        <w:ind w:left="705" w:hanging="705"/>
        <w:rPr>
          <w:rFonts w:asciiTheme="minorHAnsi" w:eastAsia="Times New Roman" w:hAnsiTheme="minorHAnsi"/>
          <w:color w:val="595959" w:themeColor="text1" w:themeTint="A6"/>
          <w:lang w:val="en"/>
        </w:rPr>
      </w:pPr>
      <w:r>
        <w:rPr>
          <w:rFonts w:asciiTheme="minorHAnsi" w:eastAsia="Times New Roman" w:hAnsiTheme="minorHAnsi"/>
          <w:color w:val="595959" w:themeColor="text1" w:themeTint="A6"/>
          <w:lang w:val="en"/>
        </w:rPr>
        <w:t>Ref</w:t>
      </w:r>
      <w:r>
        <w:rPr>
          <w:rFonts w:asciiTheme="minorHAnsi" w:eastAsia="Times New Roman" w:hAnsiTheme="minorHAnsi"/>
          <w:color w:val="595959" w:themeColor="text1" w:themeTint="A6"/>
          <w:lang w:val="en"/>
        </w:rPr>
        <w:tab/>
        <w:t xml:space="preserve">Joint Task Force of the EFNS and the PNS </w:t>
      </w:r>
      <w:r>
        <w:rPr>
          <w:rFonts w:asciiTheme="minorHAnsi" w:eastAsia="Times New Roman" w:hAnsiTheme="minorHAnsi"/>
          <w:bCs/>
          <w:color w:val="595959" w:themeColor="text1" w:themeTint="A6"/>
          <w:lang w:val="en"/>
        </w:rPr>
        <w:t xml:space="preserve">European Federation of Neurological Societies/Peripheral Nerve Society Guideline on management of </w:t>
      </w:r>
      <w:proofErr w:type="spellStart"/>
      <w:r>
        <w:rPr>
          <w:rFonts w:asciiTheme="minorHAnsi" w:eastAsia="Times New Roman" w:hAnsiTheme="minorHAnsi"/>
          <w:bCs/>
          <w:color w:val="595959" w:themeColor="text1" w:themeTint="A6"/>
          <w:lang w:val="en"/>
        </w:rPr>
        <w:t>paraproteinemic</w:t>
      </w:r>
      <w:proofErr w:type="spellEnd"/>
      <w:r>
        <w:rPr>
          <w:rFonts w:asciiTheme="minorHAnsi" w:eastAsia="Times New Roman" w:hAnsiTheme="minorHAnsi"/>
          <w:bCs/>
          <w:color w:val="595959" w:themeColor="text1" w:themeTint="A6"/>
          <w:lang w:val="en"/>
        </w:rPr>
        <w:t xml:space="preserve"> demyelinating neuropathies. Report of a Joint Task Force of the European Federation of </w:t>
      </w:r>
      <w:r w:rsidRPr="006A23B2">
        <w:rPr>
          <w:rFonts w:asciiTheme="minorHAnsi" w:eastAsia="Times New Roman" w:hAnsiTheme="minorHAnsi"/>
          <w:bCs/>
          <w:color w:val="595959" w:themeColor="text1" w:themeTint="A6"/>
          <w:lang w:val="en"/>
        </w:rPr>
        <w:t xml:space="preserve">Neurological Societies and the Peripheral Nerve Society–first revision. </w:t>
      </w:r>
      <w:r w:rsidRPr="006A23B2">
        <w:rPr>
          <w:rFonts w:asciiTheme="minorHAnsi" w:eastAsia="Times New Roman" w:hAnsiTheme="minorHAnsi"/>
          <w:color w:val="595959" w:themeColor="text1" w:themeTint="A6"/>
          <w:lang w:val="en"/>
        </w:rPr>
        <w:t xml:space="preserve">J </w:t>
      </w:r>
      <w:proofErr w:type="spellStart"/>
      <w:r w:rsidRPr="006A23B2">
        <w:rPr>
          <w:rFonts w:asciiTheme="minorHAnsi" w:eastAsia="Times New Roman" w:hAnsiTheme="minorHAnsi"/>
          <w:color w:val="595959" w:themeColor="text1" w:themeTint="A6"/>
          <w:lang w:val="en"/>
        </w:rPr>
        <w:t>Periph</w:t>
      </w:r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>er</w:t>
      </w:r>
      <w:proofErr w:type="spellEnd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 xml:space="preserve"> </w:t>
      </w:r>
      <w:proofErr w:type="spellStart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>Nerv</w:t>
      </w:r>
      <w:proofErr w:type="spellEnd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 xml:space="preserve"> </w:t>
      </w:r>
      <w:proofErr w:type="spellStart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>Syst</w:t>
      </w:r>
      <w:proofErr w:type="spellEnd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 xml:space="preserve"> 2010; 15: </w:t>
      </w:r>
      <w:r w:rsidRPr="006A23B2">
        <w:rPr>
          <w:rFonts w:asciiTheme="minorHAnsi" w:eastAsia="Times New Roman" w:hAnsiTheme="minorHAnsi"/>
          <w:color w:val="595959" w:themeColor="text1" w:themeTint="A6"/>
          <w:lang w:val="en"/>
        </w:rPr>
        <w:t>185-195</w:t>
      </w:r>
    </w:p>
    <w:p w:rsidR="00D52E8B" w:rsidRPr="006A23B2" w:rsidRDefault="00D52E8B" w:rsidP="00D52E8B">
      <w:pPr>
        <w:spacing w:after="240" w:line="330" w:lineRule="atLeast"/>
        <w:ind w:left="705" w:hanging="705"/>
        <w:rPr>
          <w:rFonts w:asciiTheme="minorHAnsi" w:eastAsia="Times New Roman" w:hAnsiTheme="minorHAnsi"/>
          <w:color w:val="595959" w:themeColor="text1" w:themeTint="A6"/>
          <w:lang w:val="en"/>
        </w:rPr>
      </w:pPr>
      <w:r w:rsidRPr="006A23B2">
        <w:rPr>
          <w:rFonts w:asciiTheme="minorHAnsi" w:eastAsia="Times New Roman" w:hAnsiTheme="minorHAnsi"/>
          <w:color w:val="595959" w:themeColor="text1" w:themeTint="A6"/>
          <w:lang w:val="en"/>
        </w:rPr>
        <w:t>Ref</w:t>
      </w:r>
      <w:r w:rsidRPr="006A23B2">
        <w:rPr>
          <w:rFonts w:asciiTheme="minorHAnsi" w:eastAsia="Times New Roman" w:hAnsiTheme="minorHAnsi"/>
          <w:color w:val="595959" w:themeColor="text1" w:themeTint="A6"/>
          <w:lang w:val="en"/>
        </w:rPr>
        <w:tab/>
        <w:t>Franssen</w:t>
      </w:r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 xml:space="preserve"> H, Notermans NC. Length dependence in polyneuropathy associated with IgM </w:t>
      </w:r>
      <w:proofErr w:type="spellStart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>gammopathy</w:t>
      </w:r>
      <w:proofErr w:type="spellEnd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 xml:space="preserve">. Ann </w:t>
      </w:r>
      <w:proofErr w:type="spellStart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>Neurol</w:t>
      </w:r>
      <w:proofErr w:type="spellEnd"/>
      <w:r w:rsidR="003D28E6" w:rsidRPr="006A23B2">
        <w:rPr>
          <w:rFonts w:asciiTheme="minorHAnsi" w:eastAsia="Times New Roman" w:hAnsiTheme="minorHAnsi"/>
          <w:color w:val="595959" w:themeColor="text1" w:themeTint="A6"/>
          <w:lang w:val="en"/>
        </w:rPr>
        <w:t xml:space="preserve"> 2006; 59(2):365-71</w:t>
      </w:r>
    </w:p>
    <w:p w:rsidR="006A23B2" w:rsidRPr="006A23B2" w:rsidRDefault="006A23B2" w:rsidP="00D52E8B">
      <w:pPr>
        <w:spacing w:after="240" w:line="330" w:lineRule="atLeast"/>
        <w:ind w:left="705" w:hanging="705"/>
        <w:rPr>
          <w:rFonts w:asciiTheme="minorHAnsi" w:eastAsia="Times New Roman" w:hAnsiTheme="minorHAnsi"/>
          <w:color w:val="595959" w:themeColor="text1" w:themeTint="A6"/>
          <w:lang w:val="en"/>
        </w:rPr>
      </w:pPr>
      <w:r w:rsidRPr="006A23B2">
        <w:rPr>
          <w:rFonts w:asciiTheme="minorHAnsi" w:eastAsia="Times New Roman" w:hAnsiTheme="minorHAnsi" w:cs="Arial"/>
          <w:color w:val="595959" w:themeColor="text1" w:themeTint="A6"/>
          <w:lang w:val="en-US"/>
        </w:rPr>
        <w:t xml:space="preserve">Ref </w:t>
      </w:r>
      <w:r w:rsidRPr="006A23B2">
        <w:rPr>
          <w:rFonts w:asciiTheme="minorHAnsi" w:eastAsia="Times New Roman" w:hAnsiTheme="minorHAnsi" w:cs="Arial"/>
          <w:color w:val="595959" w:themeColor="text1" w:themeTint="A6"/>
          <w:lang w:val="en-US"/>
        </w:rPr>
        <w:tab/>
        <w:t>R</w:t>
      </w:r>
      <w:r w:rsidRPr="006A23B2">
        <w:rPr>
          <w:rFonts w:asciiTheme="minorHAnsi" w:eastAsia="Times New Roman" w:hAnsiTheme="minorHAnsi" w:cs="Arial"/>
          <w:color w:val="595959" w:themeColor="text1" w:themeTint="A6"/>
          <w:lang w:val="en-US"/>
        </w:rPr>
        <w:t>itz et al. IgM penetration into myelinated fibers co</w:t>
      </w:r>
      <w:r>
        <w:rPr>
          <w:rFonts w:asciiTheme="minorHAnsi" w:eastAsia="Times New Roman" w:hAnsiTheme="minorHAnsi" w:cs="Arial"/>
          <w:color w:val="595959" w:themeColor="text1" w:themeTint="A6"/>
          <w:lang w:val="en-US"/>
        </w:rPr>
        <w:t>r</w:t>
      </w:r>
      <w:r w:rsidRPr="006A23B2">
        <w:rPr>
          <w:rFonts w:asciiTheme="minorHAnsi" w:eastAsia="Times New Roman" w:hAnsiTheme="minorHAnsi" w:cs="Arial"/>
          <w:color w:val="595959" w:themeColor="text1" w:themeTint="A6"/>
          <w:lang w:val="en-US"/>
        </w:rPr>
        <w:t xml:space="preserve">relates with the extent of myelin widening. </w:t>
      </w:r>
      <w:r>
        <w:rPr>
          <w:rFonts w:asciiTheme="minorHAnsi" w:eastAsia="Times New Roman" w:hAnsiTheme="minorHAnsi" w:cs="Arial"/>
          <w:color w:val="595959" w:themeColor="text1" w:themeTint="A6"/>
          <w:lang w:val="en-US"/>
        </w:rPr>
        <w:t>Muscle &amp; Ner</w:t>
      </w:r>
      <w:r w:rsidRPr="006A23B2">
        <w:rPr>
          <w:rFonts w:asciiTheme="minorHAnsi" w:eastAsia="Times New Roman" w:hAnsiTheme="minorHAnsi" w:cs="Arial"/>
          <w:color w:val="595959" w:themeColor="text1" w:themeTint="A6"/>
          <w:lang w:val="en-US"/>
        </w:rPr>
        <w:t xml:space="preserve">ve 1999; </w:t>
      </w:r>
      <w:r w:rsidR="00FB4DB4">
        <w:rPr>
          <w:rFonts w:asciiTheme="minorHAnsi" w:eastAsia="Times New Roman" w:hAnsiTheme="minorHAnsi" w:cs="Arial"/>
          <w:color w:val="595959" w:themeColor="text1" w:themeTint="A6"/>
          <w:lang w:val="en-US"/>
        </w:rPr>
        <w:t>22(8):115-23</w:t>
      </w:r>
      <w:r w:rsidRPr="006A23B2">
        <w:rPr>
          <w:rFonts w:asciiTheme="minorHAnsi" w:eastAsia="Times New Roman" w:hAnsiTheme="minorHAnsi" w:cs="Arial"/>
          <w:color w:val="595959" w:themeColor="text1" w:themeTint="A6"/>
          <w:lang w:val="en-US"/>
        </w:rPr>
        <w:t>.</w:t>
      </w:r>
    </w:p>
    <w:p w:rsidR="00FB4DB4" w:rsidRPr="00FB4DB4" w:rsidRDefault="006A23B2" w:rsidP="00FB4DB4">
      <w:pPr>
        <w:outlineLvl w:val="3"/>
        <w:rPr>
          <w:rFonts w:asciiTheme="minorHAnsi" w:hAnsiTheme="minorHAnsi" w:cs="OTNEJMScalaSansLFSmallCap"/>
          <w:lang w:val="en-US" w:eastAsia="en-US"/>
        </w:rPr>
      </w:pPr>
      <w:r>
        <w:rPr>
          <w:rFonts w:asciiTheme="minorHAnsi" w:eastAsia="Times New Roman" w:hAnsiTheme="minorHAnsi"/>
          <w:color w:val="595959" w:themeColor="text1" w:themeTint="A6"/>
          <w:lang w:val="en"/>
        </w:rPr>
        <w:t>Ref</w:t>
      </w:r>
      <w:r>
        <w:rPr>
          <w:rFonts w:asciiTheme="minorHAnsi" w:eastAsia="Times New Roman" w:hAnsiTheme="minorHAnsi"/>
          <w:color w:val="595959" w:themeColor="text1" w:themeTint="A6"/>
          <w:lang w:val="en"/>
        </w:rPr>
        <w:tab/>
        <w:t>Willison HJ et al. The clinical and laboratory features of chronic sensory ataxic neuro</w:t>
      </w:r>
      <w:r w:rsidR="00FB4DB4" w:rsidRPr="00FB4DB4">
        <w:rPr>
          <w:rFonts w:asciiTheme="minorHAnsi" w:hAnsiTheme="minorHAnsi" w:cs="OTNEJMScalaSansLFCap"/>
          <w:lang w:val="en-US" w:eastAsia="en-US"/>
        </w:rPr>
        <w:t xml:space="preserve"> </w:t>
      </w:r>
      <w:r w:rsidR="00FB4DB4" w:rsidRPr="00FB4DB4">
        <w:rPr>
          <w:rFonts w:asciiTheme="minorHAnsi" w:hAnsiTheme="minorHAnsi" w:cs="OTNEJMScalaSansLFCap"/>
          <w:lang w:val="en-US" w:eastAsia="en-US"/>
        </w:rPr>
        <w:t xml:space="preserve">n </w:t>
      </w:r>
    </w:p>
    <w:p w:rsidR="006A23B2" w:rsidRDefault="006A23B2" w:rsidP="00FB4DB4">
      <w:pPr>
        <w:spacing w:after="240" w:line="330" w:lineRule="atLeast"/>
        <w:ind w:left="705"/>
        <w:rPr>
          <w:rFonts w:asciiTheme="minorHAnsi" w:eastAsia="Times New Roman" w:hAnsiTheme="minorHAnsi"/>
          <w:color w:val="595959" w:themeColor="text1" w:themeTint="A6"/>
          <w:lang w:val="en"/>
        </w:rPr>
      </w:pPr>
      <w:proofErr w:type="spellStart"/>
      <w:r>
        <w:rPr>
          <w:rFonts w:asciiTheme="minorHAnsi" w:eastAsia="Times New Roman" w:hAnsiTheme="minorHAnsi"/>
          <w:color w:val="595959" w:themeColor="text1" w:themeTint="A6"/>
          <w:lang w:val="en"/>
        </w:rPr>
        <w:t>pathy</w:t>
      </w:r>
      <w:proofErr w:type="spellEnd"/>
      <w:r>
        <w:rPr>
          <w:rFonts w:asciiTheme="minorHAnsi" w:eastAsia="Times New Roman" w:hAnsiTheme="minorHAnsi"/>
          <w:color w:val="595959" w:themeColor="text1" w:themeTint="A6"/>
          <w:lang w:val="en"/>
        </w:rPr>
        <w:t xml:space="preserve"> with </w:t>
      </w:r>
      <w:proofErr w:type="spellStart"/>
      <w:r>
        <w:rPr>
          <w:rFonts w:asciiTheme="minorHAnsi" w:eastAsia="Times New Roman" w:hAnsiTheme="minorHAnsi"/>
          <w:color w:val="595959" w:themeColor="text1" w:themeTint="A6"/>
          <w:lang w:val="en"/>
        </w:rPr>
        <w:t>disialosyl</w:t>
      </w:r>
      <w:proofErr w:type="spellEnd"/>
      <w:r>
        <w:rPr>
          <w:rFonts w:asciiTheme="minorHAnsi" w:eastAsia="Times New Roman" w:hAnsiTheme="minorHAnsi"/>
          <w:color w:val="595959" w:themeColor="text1" w:themeTint="A6"/>
          <w:lang w:val="en"/>
        </w:rPr>
        <w:t xml:space="preserve"> IgM antibodies. Brain 2001;124(10):1968-77</w:t>
      </w:r>
    </w:p>
    <w:p w:rsidR="00FB4DB4" w:rsidRPr="00FB4DB4" w:rsidRDefault="00FB4DB4" w:rsidP="00FB4DB4">
      <w:pPr>
        <w:autoSpaceDE w:val="0"/>
        <w:autoSpaceDN w:val="0"/>
        <w:adjustRightInd w:val="0"/>
        <w:ind w:left="705" w:hanging="705"/>
        <w:rPr>
          <w:rFonts w:asciiTheme="minorHAnsi" w:eastAsia="Times New Roman" w:hAnsiTheme="minorHAnsi"/>
          <w:color w:val="595959" w:themeColor="text1" w:themeTint="A6"/>
          <w:lang w:val="en-US"/>
        </w:rPr>
      </w:pPr>
      <w:r w:rsidRPr="00FB4DB4">
        <w:rPr>
          <w:rFonts w:asciiTheme="minorHAnsi" w:hAnsiTheme="minorHAnsi" w:cs="OTNEJMScalaSansLFCap"/>
          <w:color w:val="595959" w:themeColor="text1" w:themeTint="A6"/>
          <w:lang w:eastAsia="en-US"/>
        </w:rPr>
        <w:t xml:space="preserve">Ref </w:t>
      </w:r>
      <w:r w:rsidRPr="00FB4DB4">
        <w:rPr>
          <w:rFonts w:asciiTheme="minorHAnsi" w:hAnsiTheme="minorHAnsi" w:cs="OTNEJMScalaSansLFCap"/>
          <w:color w:val="595959" w:themeColor="text1" w:themeTint="A6"/>
          <w:lang w:eastAsia="en-US"/>
        </w:rPr>
        <w:tab/>
      </w:r>
      <w:proofErr w:type="spellStart"/>
      <w:r w:rsidRPr="00FB4DB4">
        <w:rPr>
          <w:rFonts w:asciiTheme="minorHAnsi" w:hAnsiTheme="minorHAnsi" w:cs="OTNEJMScalaSansLFCap"/>
          <w:color w:val="595959" w:themeColor="text1" w:themeTint="A6"/>
          <w:lang w:eastAsia="en-US"/>
        </w:rPr>
        <w:t>Kyle</w:t>
      </w:r>
      <w:proofErr w:type="spellEnd"/>
      <w:r w:rsidRPr="00FB4DB4">
        <w:rPr>
          <w:rFonts w:asciiTheme="minorHAnsi" w:hAnsiTheme="minorHAnsi" w:cs="OTNEJMScalaSansLFCap"/>
          <w:color w:val="595959" w:themeColor="text1" w:themeTint="A6"/>
          <w:lang w:eastAsia="en-US"/>
        </w:rPr>
        <w:t xml:space="preserve"> RA et al. </w:t>
      </w:r>
      <w:r w:rsidRPr="00FB4DB4">
        <w:rPr>
          <w:rFonts w:asciiTheme="minorHAnsi" w:eastAsia="OTNEJMQuadraat" w:hAnsiTheme="minorHAnsi" w:cs="OTNEJMQuadraat"/>
          <w:color w:val="595959" w:themeColor="text1" w:themeTint="A6"/>
          <w:lang w:val="en-US" w:eastAsia="en-US"/>
        </w:rPr>
        <w:t>Long-Term Follow-up of Monoclonal</w:t>
      </w:r>
      <w:r w:rsidRPr="00FB4DB4">
        <w:rPr>
          <w:rFonts w:asciiTheme="minorHAnsi" w:eastAsia="OTNEJMQuadraat" w:hAnsiTheme="minorHAnsi" w:cs="OTNEJMQuadraat"/>
          <w:color w:val="595959" w:themeColor="text1" w:themeTint="A6"/>
          <w:lang w:val="en-US" w:eastAsia="en-US"/>
        </w:rPr>
        <w:t xml:space="preserve"> </w:t>
      </w:r>
      <w:proofErr w:type="spellStart"/>
      <w:r w:rsidRPr="00FB4DB4">
        <w:rPr>
          <w:rFonts w:asciiTheme="minorHAnsi" w:eastAsia="OTNEJMQuadraat" w:hAnsiTheme="minorHAnsi" w:cs="OTNEJMQuadraat"/>
          <w:color w:val="595959" w:themeColor="text1" w:themeTint="A6"/>
          <w:lang w:val="en-US" w:eastAsia="en-US"/>
        </w:rPr>
        <w:t>Gammopathy</w:t>
      </w:r>
      <w:proofErr w:type="spellEnd"/>
      <w:r w:rsidRPr="00FB4DB4">
        <w:rPr>
          <w:rFonts w:asciiTheme="minorHAnsi" w:eastAsia="OTNEJMQuadraat" w:hAnsiTheme="minorHAnsi" w:cs="OTNEJMQuadraat"/>
          <w:color w:val="595959" w:themeColor="text1" w:themeTint="A6"/>
          <w:lang w:val="en-US" w:eastAsia="en-US"/>
        </w:rPr>
        <w:t xml:space="preserve"> of Undetermined Significance</w:t>
      </w:r>
      <w:r w:rsidRPr="00FB4DB4">
        <w:rPr>
          <w:rFonts w:asciiTheme="minorHAnsi" w:eastAsia="OTNEJMQuadraat" w:hAnsiTheme="minorHAnsi" w:cs="OTNEJMQuadraat"/>
          <w:color w:val="595959" w:themeColor="text1" w:themeTint="A6"/>
          <w:lang w:val="en-US" w:eastAsia="en-US"/>
        </w:rPr>
        <w:t xml:space="preserve">. </w:t>
      </w:r>
      <w:r w:rsidRPr="00FB4DB4">
        <w:rPr>
          <w:rFonts w:asciiTheme="minorHAnsi" w:hAnsiTheme="minorHAnsi" w:cs="OTNEJMScalaSansLFCap"/>
          <w:color w:val="595959" w:themeColor="text1" w:themeTint="A6"/>
          <w:lang w:val="en-US" w:eastAsia="en-US"/>
        </w:rPr>
        <w:t xml:space="preserve">New </w:t>
      </w:r>
      <w:proofErr w:type="spellStart"/>
      <w:r w:rsidRPr="00FB4DB4">
        <w:rPr>
          <w:rFonts w:asciiTheme="minorHAnsi" w:hAnsiTheme="minorHAnsi" w:cs="OTNEJMScalaSansLFCap"/>
          <w:color w:val="595959" w:themeColor="text1" w:themeTint="A6"/>
          <w:lang w:val="en-US" w:eastAsia="en-US"/>
        </w:rPr>
        <w:t>Engl</w:t>
      </w:r>
      <w:proofErr w:type="spellEnd"/>
      <w:r w:rsidRPr="00FB4DB4">
        <w:rPr>
          <w:rFonts w:asciiTheme="minorHAnsi" w:hAnsiTheme="minorHAnsi" w:cs="OTNEJMScalaSansLFCap"/>
          <w:color w:val="595959" w:themeColor="text1" w:themeTint="A6"/>
          <w:lang w:val="en-US" w:eastAsia="en-US"/>
        </w:rPr>
        <w:t xml:space="preserve"> J Med 2018;</w:t>
      </w:r>
      <w:r w:rsidRPr="00FB4DB4">
        <w:rPr>
          <w:rFonts w:asciiTheme="minorHAnsi" w:hAnsiTheme="minorHAnsi" w:cs="OTNEJMScalaSansLFCap"/>
          <w:color w:val="595959" w:themeColor="text1" w:themeTint="A6"/>
          <w:lang w:val="en-US" w:eastAsia="en-US"/>
        </w:rPr>
        <w:t xml:space="preserve"> </w:t>
      </w:r>
      <w:r w:rsidRPr="00FB4DB4">
        <w:rPr>
          <w:rFonts w:asciiTheme="minorHAnsi" w:hAnsiTheme="minorHAnsi" w:cs="OTNEJMScalaSansOSF"/>
          <w:color w:val="595959" w:themeColor="text1" w:themeTint="A6"/>
          <w:lang w:val="en-US" w:eastAsia="en-US"/>
        </w:rPr>
        <w:t>378</w:t>
      </w:r>
      <w:r w:rsidRPr="00FB4DB4">
        <w:rPr>
          <w:rFonts w:asciiTheme="minorHAnsi" w:hAnsiTheme="minorHAnsi" w:cs="OTNEJMScalaSansOSF"/>
          <w:color w:val="595959" w:themeColor="text1" w:themeTint="A6"/>
          <w:lang w:val="en-US" w:eastAsia="en-US"/>
        </w:rPr>
        <w:t>(</w:t>
      </w:r>
      <w:r w:rsidRPr="00FB4DB4">
        <w:rPr>
          <w:rFonts w:asciiTheme="minorHAnsi" w:hAnsiTheme="minorHAnsi" w:cs="OTNEJMScalaSansOSF"/>
          <w:color w:val="595959" w:themeColor="text1" w:themeTint="A6"/>
          <w:lang w:val="en-US" w:eastAsia="en-US"/>
        </w:rPr>
        <w:t>3</w:t>
      </w:r>
      <w:r w:rsidRPr="00FB4DB4">
        <w:rPr>
          <w:rFonts w:asciiTheme="minorHAnsi" w:hAnsiTheme="minorHAnsi" w:cs="OTNEJMScalaSansOSF"/>
          <w:color w:val="595959" w:themeColor="text1" w:themeTint="A6"/>
          <w:lang w:val="en-US" w:eastAsia="en-US"/>
        </w:rPr>
        <w:t>)241-9.</w:t>
      </w:r>
    </w:p>
    <w:sectPr w:rsidR="00FB4DB4" w:rsidRPr="00FB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TNEJMScalaSansLFSmallCa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TNEJMScalaSansLFCa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TNEJMQuadraa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TNEJMScalaSansOS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8B"/>
    <w:rsid w:val="003D28E6"/>
    <w:rsid w:val="006A23B2"/>
    <w:rsid w:val="00A744A7"/>
    <w:rsid w:val="00CF75EB"/>
    <w:rsid w:val="00D52E8B"/>
    <w:rsid w:val="00E87E6E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E8B"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E8B"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4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81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56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8927829" TargetMode="External"/><Relationship Id="rId5" Type="http://schemas.openxmlformats.org/officeDocument/2006/relationships/hyperlink" Target="https://www.ncbi.nlm.nih.gov/pubmed/?term=Pruppers%20MHJ%5BAuthor%5D&amp;cauthor=true&amp;cauthor_uid=28927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7C1E617B</Template>
  <TotalTime>0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Notermans, N.C.</dc:creator>
  <cp:lastModifiedBy>Notermans, N.C.</cp:lastModifiedBy>
  <cp:revision>2</cp:revision>
  <dcterms:created xsi:type="dcterms:W3CDTF">2018-02-27T15:27:00Z</dcterms:created>
  <dcterms:modified xsi:type="dcterms:W3CDTF">2018-02-27T15:27:00Z</dcterms:modified>
</cp:coreProperties>
</file>