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BB" w:rsidRPr="00EC3DA7" w:rsidRDefault="007E4CBB" w:rsidP="007D10DB">
      <w:pPr>
        <w:pStyle w:val="Heading2"/>
        <w:jc w:val="center"/>
        <w:rPr>
          <w:rFonts w:ascii="Verdana" w:hAnsi="Verdana"/>
        </w:rPr>
      </w:pPr>
      <w:bookmarkStart w:id="0" w:name="_GoBack"/>
      <w:bookmarkEnd w:id="0"/>
      <w:r w:rsidRPr="00EC3DA7">
        <w:rPr>
          <w:rFonts w:ascii="Verdana" w:hAnsi="Verdana"/>
        </w:rPr>
        <w:t>AANVRAAGFORMULIER NIEUWE GENEESMIDDELEN</w:t>
      </w:r>
    </w:p>
    <w:p w:rsidR="007E4CBB" w:rsidRDefault="007E4CB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7399"/>
      </w:tblGrid>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Datum:</w:t>
            </w:r>
          </w:p>
        </w:tc>
        <w:tc>
          <w:tcPr>
            <w:tcW w:w="7490" w:type="dxa"/>
          </w:tcPr>
          <w:p w:rsidR="007E4CBB" w:rsidRPr="00F240FC" w:rsidRDefault="007E4CBB">
            <w:pPr>
              <w:rPr>
                <w:rFonts w:ascii="Verdana" w:hAnsi="Verdana"/>
                <w:b/>
                <w:sz w:val="20"/>
                <w:szCs w:val="20"/>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Naam aanvrager(s):</w:t>
            </w:r>
          </w:p>
        </w:tc>
        <w:tc>
          <w:tcPr>
            <w:tcW w:w="7490" w:type="dxa"/>
          </w:tcPr>
          <w:p w:rsidR="007E4CBB" w:rsidRPr="00F240FC" w:rsidRDefault="007E4CBB">
            <w:pPr>
              <w:rPr>
                <w:rFonts w:ascii="Verdana" w:hAnsi="Verdana"/>
                <w:sz w:val="20"/>
                <w:szCs w:val="20"/>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Specialisme:</w:t>
            </w:r>
          </w:p>
        </w:tc>
        <w:tc>
          <w:tcPr>
            <w:tcW w:w="7490" w:type="dxa"/>
          </w:tcPr>
          <w:p w:rsidR="007E4CBB" w:rsidRPr="00F240FC" w:rsidRDefault="007E4CBB">
            <w:pPr>
              <w:rPr>
                <w:rFonts w:ascii="Verdana" w:hAnsi="Verdana"/>
                <w:sz w:val="20"/>
                <w:szCs w:val="20"/>
              </w:rPr>
            </w:pPr>
          </w:p>
        </w:tc>
      </w:tr>
      <w:tr w:rsidR="00C5354B" w:rsidTr="00F62798">
        <w:tc>
          <w:tcPr>
            <w:tcW w:w="2010" w:type="dxa"/>
          </w:tcPr>
          <w:p w:rsidR="00C52786" w:rsidRPr="00F240FC" w:rsidRDefault="00C52786">
            <w:pPr>
              <w:rPr>
                <w:rFonts w:ascii="Verdana" w:hAnsi="Verdana"/>
                <w:sz w:val="20"/>
                <w:szCs w:val="20"/>
              </w:rPr>
            </w:pPr>
            <w:r w:rsidRPr="00F240FC">
              <w:rPr>
                <w:rFonts w:ascii="Verdana" w:hAnsi="Verdana"/>
                <w:sz w:val="20"/>
                <w:szCs w:val="20"/>
              </w:rPr>
              <w:t>Naam en handtekening medisch manager:</w:t>
            </w:r>
          </w:p>
        </w:tc>
        <w:tc>
          <w:tcPr>
            <w:tcW w:w="7490" w:type="dxa"/>
          </w:tcPr>
          <w:p w:rsidR="00C52786" w:rsidRPr="00F240FC" w:rsidRDefault="00C52786">
            <w:pPr>
              <w:rPr>
                <w:rFonts w:ascii="Verdana" w:hAnsi="Verdana"/>
                <w:b/>
                <w:sz w:val="20"/>
                <w:szCs w:val="20"/>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Geneesmiddel en sterkte:</w:t>
            </w:r>
          </w:p>
        </w:tc>
        <w:tc>
          <w:tcPr>
            <w:tcW w:w="7490" w:type="dxa"/>
          </w:tcPr>
          <w:p w:rsidR="0014131B" w:rsidRDefault="0014131B" w:rsidP="003A253D">
            <w:pPr>
              <w:pStyle w:val="Default"/>
              <w:rPr>
                <w:rFonts w:ascii="Verdana" w:hAnsi="Verdana"/>
                <w:sz w:val="20"/>
                <w:szCs w:val="20"/>
                <w:lang w:val="nl-NL"/>
              </w:rPr>
            </w:pPr>
          </w:p>
          <w:p w:rsidR="007E4CBB" w:rsidRDefault="00F240FC" w:rsidP="003A253D">
            <w:pPr>
              <w:pStyle w:val="Default"/>
              <w:rPr>
                <w:rFonts w:ascii="Verdana" w:hAnsi="Verdana"/>
                <w:sz w:val="20"/>
                <w:szCs w:val="20"/>
                <w:lang w:val="nl-NL"/>
              </w:rPr>
            </w:pPr>
            <w:r w:rsidRPr="003A253D">
              <w:rPr>
                <w:rFonts w:ascii="Verdana" w:hAnsi="Verdana"/>
                <w:sz w:val="20"/>
                <w:szCs w:val="20"/>
                <w:lang w:val="nl-NL"/>
              </w:rPr>
              <w:t>Darzalex</w:t>
            </w:r>
            <w:r w:rsidR="00597080" w:rsidRPr="003A253D">
              <w:rPr>
                <w:rFonts w:ascii="Verdana" w:hAnsi="Verdana"/>
                <w:sz w:val="20"/>
                <w:szCs w:val="20"/>
                <w:vertAlign w:val="superscript"/>
                <w:lang w:val="nl-NL"/>
              </w:rPr>
              <w:t>®</w:t>
            </w:r>
            <w:r w:rsidR="00597080" w:rsidRPr="003A253D">
              <w:rPr>
                <w:rFonts w:ascii="Verdana" w:hAnsi="Verdana"/>
                <w:sz w:val="20"/>
                <w:szCs w:val="20"/>
                <w:lang w:val="nl-NL"/>
              </w:rPr>
              <w:t xml:space="preserve"> (</w:t>
            </w:r>
            <w:r w:rsidRPr="003A253D">
              <w:rPr>
                <w:rFonts w:ascii="Verdana" w:hAnsi="Verdana"/>
                <w:sz w:val="20"/>
                <w:szCs w:val="20"/>
                <w:lang w:val="nl-NL"/>
              </w:rPr>
              <w:t>daratumumab</w:t>
            </w:r>
            <w:r w:rsidR="00F40391" w:rsidRPr="003A253D">
              <w:rPr>
                <w:rFonts w:ascii="Verdana" w:hAnsi="Verdana"/>
                <w:sz w:val="20"/>
                <w:szCs w:val="20"/>
                <w:lang w:val="nl-NL"/>
              </w:rPr>
              <w:t xml:space="preserve">) </w:t>
            </w:r>
            <w:r w:rsidR="003A253D" w:rsidRPr="003A253D">
              <w:rPr>
                <w:rFonts w:ascii="Verdana" w:hAnsi="Verdana"/>
                <w:sz w:val="20"/>
                <w:szCs w:val="20"/>
                <w:lang w:val="nl-NL"/>
              </w:rPr>
              <w:t>20 mg/ml concentraat voor oplossing voor infusie</w:t>
            </w:r>
            <w:r w:rsidR="003A253D">
              <w:rPr>
                <w:rFonts w:ascii="Verdana" w:hAnsi="Verdana"/>
                <w:sz w:val="20"/>
                <w:szCs w:val="20"/>
                <w:lang w:val="nl-NL"/>
              </w:rPr>
              <w:t>;</w:t>
            </w:r>
          </w:p>
          <w:p w:rsidR="003A253D" w:rsidRPr="003A253D" w:rsidRDefault="003A253D" w:rsidP="003A253D">
            <w:pPr>
              <w:pStyle w:val="Default"/>
              <w:rPr>
                <w:rFonts w:ascii="Verdana" w:hAnsi="Verdana"/>
                <w:sz w:val="20"/>
                <w:szCs w:val="20"/>
                <w:lang w:val="nl-NL"/>
              </w:rPr>
            </w:pPr>
          </w:p>
          <w:p w:rsidR="003A253D" w:rsidRPr="003A253D" w:rsidRDefault="003A253D" w:rsidP="003A253D">
            <w:pPr>
              <w:pStyle w:val="Default"/>
              <w:rPr>
                <w:rFonts w:ascii="Verdana" w:hAnsi="Verdana"/>
                <w:sz w:val="20"/>
                <w:szCs w:val="20"/>
                <w:lang w:val="nl-NL"/>
              </w:rPr>
            </w:pPr>
            <w:r w:rsidRPr="003A253D">
              <w:rPr>
                <w:rFonts w:ascii="Verdana" w:hAnsi="Verdana"/>
                <w:sz w:val="20"/>
                <w:szCs w:val="20"/>
                <w:lang w:val="nl-NL"/>
              </w:rPr>
              <w:t>Elke injectieflacon van 5 ml bevat 100 mg daratumumab (20 mg daratumumab per ml)</w:t>
            </w:r>
          </w:p>
          <w:p w:rsidR="003A253D" w:rsidRPr="003A253D" w:rsidRDefault="003A253D" w:rsidP="003A253D">
            <w:pPr>
              <w:pStyle w:val="Default"/>
              <w:rPr>
                <w:rFonts w:ascii="Verdana" w:hAnsi="Verdana"/>
                <w:sz w:val="20"/>
                <w:szCs w:val="20"/>
                <w:lang w:val="nl-NL"/>
              </w:rPr>
            </w:pPr>
            <w:r w:rsidRPr="003A253D">
              <w:rPr>
                <w:rFonts w:ascii="Verdana" w:hAnsi="Verdana"/>
                <w:sz w:val="20"/>
                <w:szCs w:val="20"/>
                <w:lang w:val="nl-NL"/>
              </w:rPr>
              <w:t>Elke injectieflacon van 20 ml bevat 400 mg daratumumab (20 mg daratumumab per ml)</w:t>
            </w:r>
          </w:p>
          <w:p w:rsidR="003A253D" w:rsidRPr="00F240FC" w:rsidRDefault="003A253D" w:rsidP="003A253D">
            <w:pPr>
              <w:rPr>
                <w:rFonts w:ascii="Verdana" w:hAnsi="Verdana"/>
                <w:sz w:val="20"/>
                <w:szCs w:val="20"/>
              </w:rPr>
            </w:pPr>
          </w:p>
        </w:tc>
      </w:tr>
      <w:tr w:rsidR="00C5354B" w:rsidTr="00F62798">
        <w:tc>
          <w:tcPr>
            <w:tcW w:w="2010" w:type="dxa"/>
          </w:tcPr>
          <w:p w:rsidR="007E4CBB" w:rsidRPr="00F240FC" w:rsidRDefault="006C5FE5">
            <w:pPr>
              <w:rPr>
                <w:rFonts w:ascii="Verdana" w:hAnsi="Verdana"/>
                <w:sz w:val="20"/>
                <w:szCs w:val="20"/>
              </w:rPr>
            </w:pPr>
            <w:r>
              <w:rPr>
                <w:rFonts w:ascii="Verdana" w:hAnsi="Verdana"/>
                <w:sz w:val="20"/>
                <w:szCs w:val="20"/>
              </w:rPr>
              <w:t>R</w:t>
            </w:r>
            <w:r w:rsidR="00174F42">
              <w:rPr>
                <w:rFonts w:ascii="Verdana" w:hAnsi="Verdana"/>
                <w:sz w:val="20"/>
                <w:szCs w:val="20"/>
              </w:rPr>
              <w:t>egistratie</w:t>
            </w:r>
            <w:r w:rsidR="007D10DB">
              <w:rPr>
                <w:rFonts w:ascii="Verdana" w:hAnsi="Verdana"/>
                <w:sz w:val="20"/>
                <w:szCs w:val="20"/>
              </w:rPr>
              <w:t>-</w:t>
            </w:r>
            <w:r w:rsidR="00174F42">
              <w:rPr>
                <w:rFonts w:ascii="Verdana" w:hAnsi="Verdana"/>
                <w:sz w:val="20"/>
                <w:szCs w:val="20"/>
              </w:rPr>
              <w:t>houde</w:t>
            </w:r>
            <w:r w:rsidR="007D10DB">
              <w:rPr>
                <w:rFonts w:ascii="Verdana" w:hAnsi="Verdana"/>
                <w:sz w:val="20"/>
                <w:szCs w:val="20"/>
              </w:rPr>
              <w:t>r</w:t>
            </w:r>
            <w:r w:rsidR="007E4CBB" w:rsidRPr="00F240FC">
              <w:rPr>
                <w:rFonts w:ascii="Verdana" w:hAnsi="Verdana"/>
                <w:sz w:val="20"/>
                <w:szCs w:val="20"/>
              </w:rPr>
              <w:t>:</w:t>
            </w:r>
          </w:p>
        </w:tc>
        <w:tc>
          <w:tcPr>
            <w:tcW w:w="7490" w:type="dxa"/>
          </w:tcPr>
          <w:p w:rsidR="0014131B" w:rsidRDefault="0014131B" w:rsidP="003A253D">
            <w:pPr>
              <w:pStyle w:val="Default"/>
              <w:rPr>
                <w:rFonts w:ascii="Verdana" w:hAnsi="Verdana"/>
                <w:sz w:val="20"/>
                <w:szCs w:val="20"/>
                <w:lang w:val="nl-NL"/>
              </w:rPr>
            </w:pPr>
          </w:p>
          <w:p w:rsidR="003A253D" w:rsidRPr="003A253D" w:rsidRDefault="003A253D" w:rsidP="003A253D">
            <w:pPr>
              <w:pStyle w:val="Default"/>
              <w:rPr>
                <w:rFonts w:ascii="Verdana" w:hAnsi="Verdana"/>
                <w:sz w:val="20"/>
                <w:szCs w:val="20"/>
                <w:lang w:val="nl-NL"/>
              </w:rPr>
            </w:pPr>
            <w:r w:rsidRPr="003A253D">
              <w:rPr>
                <w:rFonts w:ascii="Verdana" w:hAnsi="Verdana"/>
                <w:sz w:val="20"/>
                <w:szCs w:val="20"/>
                <w:lang w:val="nl-NL"/>
              </w:rPr>
              <w:t xml:space="preserve">Janssen-Cilag International NV </w:t>
            </w:r>
          </w:p>
          <w:p w:rsidR="003A253D" w:rsidRPr="003A253D" w:rsidRDefault="003A253D" w:rsidP="003A253D">
            <w:pPr>
              <w:pStyle w:val="Default"/>
              <w:rPr>
                <w:rFonts w:ascii="Verdana" w:hAnsi="Verdana"/>
                <w:sz w:val="20"/>
                <w:szCs w:val="20"/>
                <w:lang w:val="nl-NL"/>
              </w:rPr>
            </w:pPr>
            <w:r w:rsidRPr="003A253D">
              <w:rPr>
                <w:rFonts w:ascii="Verdana" w:hAnsi="Verdana"/>
                <w:sz w:val="20"/>
                <w:szCs w:val="20"/>
                <w:lang w:val="nl-NL"/>
              </w:rPr>
              <w:t xml:space="preserve">Turnhoutseweg 30 </w:t>
            </w:r>
          </w:p>
          <w:p w:rsidR="003A253D" w:rsidRPr="003A253D" w:rsidRDefault="003A253D" w:rsidP="003A253D">
            <w:pPr>
              <w:pStyle w:val="Default"/>
              <w:rPr>
                <w:rFonts w:ascii="Verdana" w:hAnsi="Verdana"/>
                <w:sz w:val="20"/>
                <w:szCs w:val="20"/>
              </w:rPr>
            </w:pPr>
            <w:r w:rsidRPr="003A253D">
              <w:rPr>
                <w:rFonts w:ascii="Verdana" w:hAnsi="Verdana"/>
                <w:sz w:val="20"/>
                <w:szCs w:val="20"/>
              </w:rPr>
              <w:t xml:space="preserve">B-2340 Beerse </w:t>
            </w:r>
          </w:p>
          <w:p w:rsidR="007E4CBB" w:rsidRDefault="003A253D" w:rsidP="003A253D">
            <w:pPr>
              <w:rPr>
                <w:rFonts w:ascii="Verdana" w:hAnsi="Verdana"/>
                <w:sz w:val="20"/>
                <w:szCs w:val="20"/>
              </w:rPr>
            </w:pPr>
            <w:r w:rsidRPr="003A253D">
              <w:rPr>
                <w:rFonts w:ascii="Verdana" w:hAnsi="Verdana"/>
                <w:sz w:val="20"/>
                <w:szCs w:val="20"/>
              </w:rPr>
              <w:t>België</w:t>
            </w:r>
          </w:p>
          <w:p w:rsidR="0014131B" w:rsidRPr="00F240FC" w:rsidRDefault="0014131B" w:rsidP="003A253D">
            <w:pPr>
              <w:rPr>
                <w:rFonts w:ascii="Verdana" w:hAnsi="Verdana"/>
                <w:sz w:val="20"/>
                <w:szCs w:val="20"/>
              </w:rPr>
            </w:pPr>
          </w:p>
        </w:tc>
      </w:tr>
      <w:tr w:rsidR="00C5354B" w:rsidTr="00F62798">
        <w:tc>
          <w:tcPr>
            <w:tcW w:w="2010" w:type="dxa"/>
          </w:tcPr>
          <w:p w:rsidR="007E4CBB" w:rsidRPr="006C5FE5" w:rsidRDefault="006C5FE5" w:rsidP="006C5FE5">
            <w:pPr>
              <w:rPr>
                <w:rFonts w:ascii="Verdana" w:hAnsi="Verdana"/>
                <w:sz w:val="20"/>
                <w:szCs w:val="20"/>
              </w:rPr>
            </w:pPr>
            <w:r w:rsidRPr="006C5FE5">
              <w:rPr>
                <w:rFonts w:ascii="Verdana" w:hAnsi="Verdana"/>
                <w:bCs/>
                <w:sz w:val="20"/>
                <w:szCs w:val="20"/>
              </w:rPr>
              <w:t>Therapeutische indicaties</w:t>
            </w:r>
            <w:r>
              <w:rPr>
                <w:rFonts w:ascii="Verdana" w:hAnsi="Verdana"/>
                <w:bCs/>
                <w:sz w:val="20"/>
                <w:szCs w:val="20"/>
              </w:rPr>
              <w:t>:</w:t>
            </w:r>
          </w:p>
        </w:tc>
        <w:tc>
          <w:tcPr>
            <w:tcW w:w="7490" w:type="dxa"/>
          </w:tcPr>
          <w:p w:rsidR="0014131B" w:rsidRDefault="0014131B" w:rsidP="006C5FE5">
            <w:pPr>
              <w:pStyle w:val="Default"/>
              <w:rPr>
                <w:rFonts w:ascii="Verdana" w:hAnsi="Verdana"/>
                <w:sz w:val="20"/>
                <w:szCs w:val="20"/>
                <w:lang w:val="nl-NL"/>
              </w:rPr>
            </w:pPr>
          </w:p>
          <w:p w:rsidR="00B453CB" w:rsidRDefault="006C5FE5" w:rsidP="006C5FE5">
            <w:pPr>
              <w:pStyle w:val="Default"/>
              <w:rPr>
                <w:rFonts w:ascii="Verdana" w:hAnsi="Verdana"/>
                <w:sz w:val="20"/>
                <w:szCs w:val="20"/>
                <w:lang w:val="nl-NL"/>
              </w:rPr>
            </w:pPr>
            <w:r w:rsidRPr="003A253D">
              <w:rPr>
                <w:rFonts w:ascii="Verdana" w:hAnsi="Verdana"/>
                <w:sz w:val="20"/>
                <w:szCs w:val="20"/>
                <w:lang w:val="nl-NL"/>
              </w:rPr>
              <w:t xml:space="preserve">Darzalex </w:t>
            </w:r>
            <w:r w:rsidRPr="006C5FE5">
              <w:rPr>
                <w:rFonts w:ascii="Verdana" w:hAnsi="Verdana"/>
                <w:sz w:val="20"/>
                <w:szCs w:val="20"/>
                <w:lang w:val="nl-NL"/>
              </w:rPr>
              <w:t>als monotherapie is geïndiceerd voor de behandeling van volwassen patiënten met gerec</w:t>
            </w:r>
            <w:r>
              <w:rPr>
                <w:rFonts w:ascii="Verdana" w:hAnsi="Verdana"/>
                <w:sz w:val="20"/>
                <w:szCs w:val="20"/>
                <w:lang w:val="nl-NL"/>
              </w:rPr>
              <w:t xml:space="preserve">idiveerd en refractair multipel </w:t>
            </w:r>
            <w:r w:rsidRPr="006C5FE5">
              <w:rPr>
                <w:rFonts w:ascii="Verdana" w:hAnsi="Verdana"/>
                <w:sz w:val="20"/>
                <w:szCs w:val="20"/>
                <w:lang w:val="nl-NL"/>
              </w:rPr>
              <w:t>myeloom, bij wie de voorgaande behandeling bestond uit een proteasoomremmer en een immunomodulerend middel en die bij de laatste behandeling ziekteprogressie hebben vertoond</w:t>
            </w:r>
            <w:r w:rsidR="00B10FAF" w:rsidRPr="00B10FAF">
              <w:rPr>
                <w:rFonts w:ascii="Verdana" w:hAnsi="Verdana"/>
                <w:sz w:val="20"/>
                <w:szCs w:val="20"/>
                <w:vertAlign w:val="superscript"/>
                <w:lang w:val="nl-NL"/>
              </w:rPr>
              <w:t>4</w:t>
            </w:r>
            <w:r w:rsidRPr="006C5FE5">
              <w:rPr>
                <w:rFonts w:ascii="Verdana" w:hAnsi="Verdana"/>
                <w:sz w:val="20"/>
                <w:szCs w:val="20"/>
                <w:lang w:val="nl-NL"/>
              </w:rPr>
              <w:t>.</w:t>
            </w:r>
          </w:p>
          <w:p w:rsidR="0014131B" w:rsidRPr="006C5FE5" w:rsidRDefault="0014131B" w:rsidP="006C5FE5">
            <w:pPr>
              <w:pStyle w:val="Default"/>
              <w:rPr>
                <w:rFonts w:ascii="Verdana" w:hAnsi="Verdana"/>
                <w:sz w:val="20"/>
                <w:szCs w:val="20"/>
                <w:lang w:val="nl-NL"/>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Is het middel geregistreerd voor de indicatie?</w:t>
            </w:r>
          </w:p>
        </w:tc>
        <w:tc>
          <w:tcPr>
            <w:tcW w:w="7490" w:type="dxa"/>
          </w:tcPr>
          <w:p w:rsidR="0014131B" w:rsidRDefault="0014131B" w:rsidP="00B453CB">
            <w:pPr>
              <w:rPr>
                <w:rFonts w:ascii="Verdana" w:hAnsi="Verdana"/>
                <w:sz w:val="20"/>
                <w:szCs w:val="20"/>
              </w:rPr>
            </w:pPr>
          </w:p>
          <w:p w:rsidR="005565C2" w:rsidRPr="00F240FC" w:rsidRDefault="00F76798" w:rsidP="00B453CB">
            <w:pPr>
              <w:rPr>
                <w:rFonts w:ascii="Verdana" w:hAnsi="Verdana"/>
                <w:sz w:val="20"/>
                <w:szCs w:val="20"/>
              </w:rPr>
            </w:pPr>
            <w:r w:rsidRPr="003A253D">
              <w:rPr>
                <w:rFonts w:ascii="Verdana" w:hAnsi="Verdana"/>
                <w:sz w:val="20"/>
                <w:szCs w:val="20"/>
              </w:rPr>
              <w:t xml:space="preserve">Darzalex </w:t>
            </w:r>
            <w:r w:rsidR="00F40391" w:rsidRPr="00F240FC">
              <w:rPr>
                <w:rFonts w:ascii="Verdana" w:hAnsi="Verdana"/>
                <w:sz w:val="20"/>
                <w:szCs w:val="20"/>
              </w:rPr>
              <w:t xml:space="preserve">is geregistreerd voor </w:t>
            </w:r>
            <w:r>
              <w:rPr>
                <w:rFonts w:ascii="Verdana" w:hAnsi="Verdana"/>
                <w:sz w:val="20"/>
                <w:szCs w:val="20"/>
              </w:rPr>
              <w:t xml:space="preserve">de </w:t>
            </w:r>
            <w:r w:rsidR="00F6195D">
              <w:rPr>
                <w:rFonts w:ascii="Verdana" w:hAnsi="Verdana"/>
                <w:sz w:val="20"/>
                <w:szCs w:val="20"/>
              </w:rPr>
              <w:t>bovengenoemde indicatie</w:t>
            </w:r>
            <w:r w:rsidR="00B453CB" w:rsidRPr="00F240FC">
              <w:rPr>
                <w:rFonts w:ascii="Verdana" w:hAnsi="Verdana"/>
                <w:sz w:val="20"/>
                <w:szCs w:val="20"/>
              </w:rPr>
              <w:t xml:space="preserve">. </w:t>
            </w:r>
          </w:p>
          <w:p w:rsidR="003E6978" w:rsidRDefault="003E6978" w:rsidP="0086059D">
            <w:pPr>
              <w:rPr>
                <w:rFonts w:ascii="Verdana" w:hAnsi="Verdana"/>
                <w:sz w:val="20"/>
                <w:szCs w:val="20"/>
              </w:rPr>
            </w:pPr>
          </w:p>
          <w:p w:rsidR="009E2C7E" w:rsidRPr="00F1497C" w:rsidRDefault="009E2C7E" w:rsidP="0086059D">
            <w:pPr>
              <w:rPr>
                <w:rFonts w:ascii="Verdana" w:hAnsi="Verdana"/>
                <w:sz w:val="20"/>
                <w:szCs w:val="20"/>
              </w:rPr>
            </w:pPr>
          </w:p>
        </w:tc>
      </w:tr>
      <w:tr w:rsidR="009E2C7E" w:rsidTr="00F62798">
        <w:tc>
          <w:tcPr>
            <w:tcW w:w="2010" w:type="dxa"/>
          </w:tcPr>
          <w:p w:rsidR="009E2C7E" w:rsidRPr="00F240FC" w:rsidRDefault="009E2C7E">
            <w:pPr>
              <w:rPr>
                <w:rFonts w:ascii="Verdana" w:hAnsi="Verdana"/>
                <w:sz w:val="20"/>
                <w:szCs w:val="20"/>
              </w:rPr>
            </w:pPr>
            <w:r>
              <w:rPr>
                <w:rFonts w:ascii="Verdana" w:hAnsi="Verdana"/>
                <w:sz w:val="20"/>
                <w:szCs w:val="20"/>
              </w:rPr>
              <w:t>Declaratiecodes:</w:t>
            </w:r>
          </w:p>
        </w:tc>
        <w:tc>
          <w:tcPr>
            <w:tcW w:w="7490" w:type="dxa"/>
          </w:tcPr>
          <w:p w:rsidR="009E2C7E" w:rsidRDefault="009E2C7E" w:rsidP="009E2C7E">
            <w:pPr>
              <w:rPr>
                <w:rFonts w:ascii="Verdana" w:hAnsi="Verdana"/>
                <w:iCs/>
                <w:sz w:val="20"/>
                <w:szCs w:val="20"/>
              </w:rPr>
            </w:pPr>
          </w:p>
          <w:p w:rsidR="009E2C7E" w:rsidRPr="0086059D" w:rsidRDefault="009E2C7E" w:rsidP="009E2C7E">
            <w:pPr>
              <w:rPr>
                <w:rFonts w:ascii="Verdana" w:hAnsi="Verdana"/>
                <w:iCs/>
                <w:sz w:val="20"/>
                <w:szCs w:val="20"/>
              </w:rPr>
            </w:pPr>
            <w:r w:rsidRPr="0086059D">
              <w:rPr>
                <w:rFonts w:ascii="Verdana" w:hAnsi="Verdana"/>
                <w:iCs/>
                <w:sz w:val="20"/>
                <w:szCs w:val="20"/>
              </w:rPr>
              <w:t xml:space="preserve">De declaratiecode (ZI-nummer daratumumab 100mg) </w:t>
            </w:r>
            <w:r w:rsidRPr="0086059D">
              <w:rPr>
                <w:rFonts w:ascii="Verdana" w:hAnsi="Verdana"/>
                <w:i/>
                <w:iCs/>
                <w:sz w:val="20"/>
                <w:szCs w:val="20"/>
              </w:rPr>
              <w:t>16252063</w:t>
            </w:r>
          </w:p>
          <w:p w:rsidR="009E2C7E" w:rsidRDefault="009E2C7E" w:rsidP="009E2C7E">
            <w:pPr>
              <w:rPr>
                <w:rFonts w:ascii="Verdana" w:hAnsi="Verdana"/>
                <w:iCs/>
                <w:sz w:val="20"/>
                <w:szCs w:val="20"/>
              </w:rPr>
            </w:pPr>
            <w:r w:rsidRPr="0086059D">
              <w:rPr>
                <w:rFonts w:ascii="Verdana" w:hAnsi="Verdana"/>
                <w:iCs/>
                <w:sz w:val="20"/>
                <w:szCs w:val="20"/>
              </w:rPr>
              <w:t xml:space="preserve">De declaratiecode (ZI-nummer daratumumab 400mg) </w:t>
            </w:r>
            <w:r w:rsidRPr="0086059D">
              <w:rPr>
                <w:rFonts w:ascii="Verdana" w:hAnsi="Verdana"/>
                <w:i/>
                <w:iCs/>
                <w:sz w:val="20"/>
                <w:szCs w:val="20"/>
              </w:rPr>
              <w:t>16252071</w:t>
            </w:r>
          </w:p>
          <w:p w:rsidR="009E2C7E" w:rsidRPr="0086059D" w:rsidRDefault="009E2C7E" w:rsidP="009E2C7E">
            <w:pPr>
              <w:rPr>
                <w:rFonts w:ascii="Verdana" w:hAnsi="Verdana"/>
                <w:iCs/>
                <w:sz w:val="20"/>
                <w:szCs w:val="20"/>
              </w:rPr>
            </w:pPr>
          </w:p>
          <w:p w:rsidR="009E2C7E" w:rsidRDefault="009E2C7E" w:rsidP="009E2C7E">
            <w:pPr>
              <w:rPr>
                <w:rFonts w:ascii="Verdana" w:hAnsi="Verdana"/>
                <w:color w:val="000000"/>
                <w:sz w:val="20"/>
                <w:szCs w:val="20"/>
              </w:rPr>
            </w:pPr>
            <w:r w:rsidRPr="0086059D">
              <w:rPr>
                <w:rFonts w:ascii="Verdana" w:hAnsi="Verdana"/>
                <w:iCs/>
                <w:sz w:val="20"/>
                <w:szCs w:val="20"/>
              </w:rPr>
              <w:t xml:space="preserve">Met ingang van 1 april 2017 kan daratumumab gedeclareerd worden op bovenstaande ZI-nummers in combinatie met indicatiecode </w:t>
            </w:r>
            <w:r w:rsidRPr="0086059D">
              <w:rPr>
                <w:rFonts w:ascii="Verdana" w:hAnsi="Verdana"/>
                <w:i/>
                <w:color w:val="000000"/>
                <w:sz w:val="20"/>
                <w:szCs w:val="20"/>
              </w:rPr>
              <w:t>1357</w:t>
            </w:r>
            <w:r w:rsidRPr="0086059D">
              <w:rPr>
                <w:rFonts w:ascii="Verdana" w:hAnsi="Verdana"/>
                <w:color w:val="000000"/>
                <w:sz w:val="20"/>
                <w:szCs w:val="20"/>
              </w:rPr>
              <w:t xml:space="preserve"> (voor daratumumab-monotherapie)</w:t>
            </w:r>
          </w:p>
          <w:p w:rsidR="009E2C7E" w:rsidRDefault="009E2C7E" w:rsidP="009E2C7E">
            <w:pPr>
              <w:rPr>
                <w:rFonts w:ascii="Verdana" w:hAnsi="Verdana"/>
                <w:sz w:val="20"/>
                <w:szCs w:val="20"/>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t>Kwantificeer de verbetering ten opzichte van standaardtherapie t.a.v.</w:t>
            </w:r>
          </w:p>
          <w:p w:rsidR="007E4CBB" w:rsidRPr="00F240FC" w:rsidRDefault="007E4CBB">
            <w:pPr>
              <w:numPr>
                <w:ilvl w:val="0"/>
                <w:numId w:val="2"/>
              </w:numPr>
              <w:rPr>
                <w:rFonts w:ascii="Verdana" w:hAnsi="Verdana"/>
                <w:sz w:val="20"/>
                <w:szCs w:val="20"/>
              </w:rPr>
            </w:pPr>
            <w:r w:rsidRPr="00F240FC">
              <w:rPr>
                <w:rFonts w:ascii="Verdana" w:hAnsi="Verdana"/>
                <w:sz w:val="20"/>
                <w:szCs w:val="20"/>
              </w:rPr>
              <w:t>morbiditeit</w:t>
            </w:r>
          </w:p>
          <w:p w:rsidR="007E4CBB" w:rsidRPr="00F240FC" w:rsidRDefault="007E4CBB">
            <w:pPr>
              <w:numPr>
                <w:ilvl w:val="0"/>
                <w:numId w:val="2"/>
              </w:numPr>
              <w:rPr>
                <w:rFonts w:ascii="Verdana" w:hAnsi="Verdana"/>
                <w:sz w:val="20"/>
                <w:szCs w:val="20"/>
              </w:rPr>
            </w:pPr>
            <w:r w:rsidRPr="00F240FC">
              <w:rPr>
                <w:rFonts w:ascii="Verdana" w:hAnsi="Verdana"/>
                <w:sz w:val="20"/>
                <w:szCs w:val="20"/>
              </w:rPr>
              <w:t>mortaliteit</w:t>
            </w:r>
          </w:p>
          <w:p w:rsidR="007E4CBB" w:rsidRPr="00F240FC" w:rsidRDefault="00586542">
            <w:pPr>
              <w:numPr>
                <w:ilvl w:val="0"/>
                <w:numId w:val="2"/>
              </w:numPr>
              <w:rPr>
                <w:rFonts w:ascii="Verdana" w:hAnsi="Verdana"/>
                <w:sz w:val="20"/>
                <w:szCs w:val="20"/>
              </w:rPr>
            </w:pPr>
            <w:r>
              <w:rPr>
                <w:rFonts w:ascii="Verdana" w:hAnsi="Verdana"/>
                <w:sz w:val="20"/>
                <w:szCs w:val="20"/>
              </w:rPr>
              <w:t>veiligheid</w:t>
            </w:r>
          </w:p>
          <w:p w:rsidR="007E4CBB" w:rsidRPr="00F240FC" w:rsidRDefault="007E4CBB">
            <w:pPr>
              <w:rPr>
                <w:rFonts w:ascii="Verdana" w:hAnsi="Verdana"/>
                <w:sz w:val="20"/>
                <w:szCs w:val="20"/>
              </w:rPr>
            </w:pPr>
          </w:p>
        </w:tc>
        <w:tc>
          <w:tcPr>
            <w:tcW w:w="7490" w:type="dxa"/>
          </w:tcPr>
          <w:p w:rsidR="0014131B" w:rsidRDefault="0014131B" w:rsidP="00F76798">
            <w:pPr>
              <w:pStyle w:val="Default"/>
              <w:rPr>
                <w:rFonts w:ascii="Verdana" w:hAnsi="Verdana"/>
                <w:b/>
                <w:sz w:val="20"/>
                <w:szCs w:val="20"/>
                <w:lang w:val="nl-NL"/>
              </w:rPr>
            </w:pPr>
          </w:p>
          <w:p w:rsidR="000B7C5F" w:rsidRPr="000B7C5F" w:rsidRDefault="000B7C5F" w:rsidP="00F76798">
            <w:pPr>
              <w:pStyle w:val="Default"/>
              <w:rPr>
                <w:rFonts w:ascii="Verdana" w:hAnsi="Verdana"/>
                <w:b/>
                <w:sz w:val="20"/>
                <w:szCs w:val="20"/>
                <w:lang w:val="nl-NL"/>
              </w:rPr>
            </w:pPr>
            <w:r w:rsidRPr="000B7C5F">
              <w:rPr>
                <w:rFonts w:ascii="Verdana" w:hAnsi="Verdana"/>
                <w:b/>
                <w:sz w:val="20"/>
                <w:szCs w:val="20"/>
                <w:lang w:val="nl-NL"/>
              </w:rPr>
              <w:t>Klinische werkzaamheid</w:t>
            </w:r>
          </w:p>
          <w:p w:rsidR="00F76798" w:rsidRPr="00174F42" w:rsidRDefault="00F76798" w:rsidP="00F76798">
            <w:pPr>
              <w:pStyle w:val="Default"/>
              <w:rPr>
                <w:rFonts w:ascii="Verdana" w:hAnsi="Verdana"/>
                <w:sz w:val="20"/>
                <w:szCs w:val="20"/>
                <w:lang w:val="nl-NL"/>
              </w:rPr>
            </w:pPr>
            <w:r w:rsidRPr="00174F42">
              <w:rPr>
                <w:rFonts w:ascii="Verdana" w:hAnsi="Verdana"/>
                <w:sz w:val="20"/>
                <w:szCs w:val="20"/>
                <w:lang w:val="nl-NL"/>
              </w:rPr>
              <w:t>De klinische werkzaamheid en veiligheid van Darzalex bij het behandelen van patiënten met gerecidiveerd en refractair multipel myeloom werden aanget</w:t>
            </w:r>
            <w:r w:rsidR="00EC3DA7" w:rsidRPr="00174F42">
              <w:rPr>
                <w:rFonts w:ascii="Verdana" w:hAnsi="Verdana"/>
                <w:sz w:val="20"/>
                <w:szCs w:val="20"/>
                <w:lang w:val="nl-NL"/>
              </w:rPr>
              <w:t>oond in twee open-label studies</w:t>
            </w:r>
            <w:r w:rsidR="000B7C5F">
              <w:rPr>
                <w:rFonts w:ascii="Verdana" w:hAnsi="Verdana"/>
                <w:sz w:val="20"/>
                <w:szCs w:val="20"/>
                <w:vertAlign w:val="superscript"/>
                <w:lang w:val="nl-NL"/>
              </w:rPr>
              <w:t>1-3</w:t>
            </w:r>
            <w:r w:rsidR="00EC3DA7" w:rsidRPr="00174F42">
              <w:rPr>
                <w:rFonts w:ascii="Verdana" w:hAnsi="Verdana"/>
                <w:sz w:val="20"/>
                <w:szCs w:val="20"/>
                <w:lang w:val="nl-NL"/>
              </w:rPr>
              <w:t>.</w:t>
            </w:r>
          </w:p>
          <w:p w:rsidR="00F76798" w:rsidRPr="00174F42" w:rsidRDefault="00F76798" w:rsidP="00F76798">
            <w:pPr>
              <w:pStyle w:val="Default"/>
              <w:rPr>
                <w:rFonts w:ascii="Verdana" w:hAnsi="Verdana"/>
                <w:sz w:val="20"/>
                <w:szCs w:val="20"/>
                <w:lang w:val="nl-NL"/>
              </w:rPr>
            </w:pPr>
            <w:r w:rsidRPr="00174F42">
              <w:rPr>
                <w:rFonts w:ascii="Verdana" w:hAnsi="Verdana"/>
                <w:sz w:val="20"/>
                <w:szCs w:val="20"/>
                <w:lang w:val="nl-NL"/>
              </w:rPr>
              <w:t xml:space="preserve"> </w:t>
            </w:r>
          </w:p>
          <w:p w:rsidR="00F76798" w:rsidRPr="00174F42" w:rsidRDefault="00F76798" w:rsidP="00F76798">
            <w:pPr>
              <w:rPr>
                <w:rFonts w:ascii="Verdana" w:hAnsi="Verdana"/>
                <w:sz w:val="20"/>
                <w:szCs w:val="20"/>
              </w:rPr>
            </w:pPr>
            <w:r w:rsidRPr="00174F42">
              <w:rPr>
                <w:rFonts w:ascii="Verdana" w:hAnsi="Verdana"/>
                <w:sz w:val="20"/>
                <w:szCs w:val="20"/>
              </w:rPr>
              <w:t>In studie MMY2002 kregen 106 patiënten met gerecidiveerd en refractair multipel</w:t>
            </w:r>
            <w:r>
              <w:rPr>
                <w:sz w:val="22"/>
                <w:szCs w:val="22"/>
              </w:rPr>
              <w:t xml:space="preserve"> </w:t>
            </w:r>
            <w:r w:rsidRPr="00174F42">
              <w:rPr>
                <w:rFonts w:ascii="Verdana" w:hAnsi="Verdana"/>
                <w:sz w:val="20"/>
                <w:szCs w:val="20"/>
              </w:rPr>
              <w:t>myeloom 16 mg/kg Darzalex tot aan ziekteprogressie. De mediane l</w:t>
            </w:r>
            <w:r w:rsidR="00F81AF6">
              <w:rPr>
                <w:rFonts w:ascii="Verdana" w:hAnsi="Verdana"/>
                <w:sz w:val="20"/>
                <w:szCs w:val="20"/>
              </w:rPr>
              <w:t>eeftijd van de patiënten was 63,</w:t>
            </w:r>
            <w:r w:rsidRPr="00174F42">
              <w:rPr>
                <w:rFonts w:ascii="Verdana" w:hAnsi="Verdana"/>
                <w:sz w:val="20"/>
                <w:szCs w:val="20"/>
              </w:rPr>
              <w:t xml:space="preserve">5 jaar, 11% van de patiënten was ≥ 75 jaar. Het mediane aantal eerdere </w:t>
            </w:r>
            <w:r w:rsidRPr="00174F42">
              <w:rPr>
                <w:rFonts w:ascii="Verdana" w:hAnsi="Verdana"/>
                <w:sz w:val="20"/>
                <w:szCs w:val="20"/>
              </w:rPr>
              <w:lastRenderedPageBreak/>
              <w:t xml:space="preserve">behandelingslijnen dat patiënten hadden gehad, was 5. Tachtig procent van de patiënten had eerder een autologe stamceltransplantatie (ASCT) gekregen. </w:t>
            </w:r>
            <w:r w:rsidR="00F434ED" w:rsidRPr="00F434ED">
              <w:rPr>
                <w:rFonts w:ascii="Verdana" w:hAnsi="Verdana"/>
                <w:sz w:val="20"/>
                <w:szCs w:val="20"/>
              </w:rPr>
              <w:t>Voorafgaande behandelingen bevatten onder meer bortezomib (99%), lenalidomide (99%), pomalidomide (63%) en carfilzomib (50%).</w:t>
            </w:r>
            <w:r w:rsidR="00F434ED">
              <w:rPr>
                <w:sz w:val="22"/>
                <w:szCs w:val="22"/>
              </w:rPr>
              <w:t xml:space="preserve"> </w:t>
            </w:r>
            <w:r w:rsidRPr="00174F42">
              <w:rPr>
                <w:rFonts w:ascii="Verdana" w:hAnsi="Verdana"/>
                <w:sz w:val="20"/>
                <w:szCs w:val="20"/>
              </w:rPr>
              <w:t>Bij baseline was 97% van de patiënten refractair voor de laatste behandelingslijn, 95% was refractair voor zowel een proteasoomremmer (</w:t>
            </w:r>
            <w:r w:rsidRPr="00174F42">
              <w:rPr>
                <w:rFonts w:ascii="Verdana" w:hAnsi="Verdana"/>
                <w:i/>
                <w:iCs/>
                <w:sz w:val="20"/>
                <w:szCs w:val="20"/>
              </w:rPr>
              <w:t xml:space="preserve">proteosome inhibitor, </w:t>
            </w:r>
            <w:r w:rsidRPr="00174F42">
              <w:rPr>
                <w:rFonts w:ascii="Verdana" w:hAnsi="Verdana"/>
                <w:sz w:val="20"/>
                <w:szCs w:val="20"/>
              </w:rPr>
              <w:t>PI) als een immunomodulerend middel (</w:t>
            </w:r>
            <w:r w:rsidRPr="00174F42">
              <w:rPr>
                <w:rFonts w:ascii="Verdana" w:hAnsi="Verdana"/>
                <w:i/>
                <w:iCs/>
                <w:sz w:val="20"/>
                <w:szCs w:val="20"/>
              </w:rPr>
              <w:t xml:space="preserve">immunomodulatory agent, </w:t>
            </w:r>
            <w:r w:rsidRPr="00174F42">
              <w:rPr>
                <w:rFonts w:ascii="Verdana" w:hAnsi="Verdana"/>
                <w:sz w:val="20"/>
                <w:szCs w:val="20"/>
              </w:rPr>
              <w:t>IMiD), 77% was refractair voor alkylerende stoffen, 63% was refractair voor pomalidomide en 48% van de patiënten was refractair voor carfilzomib</w:t>
            </w:r>
            <w:r w:rsidR="00174F42" w:rsidRPr="00174F42">
              <w:rPr>
                <w:rFonts w:ascii="Verdana" w:hAnsi="Verdana"/>
                <w:sz w:val="20"/>
                <w:szCs w:val="20"/>
                <w:vertAlign w:val="superscript"/>
              </w:rPr>
              <w:t>1</w:t>
            </w:r>
            <w:r w:rsidRPr="00174F42">
              <w:rPr>
                <w:rFonts w:ascii="Verdana" w:hAnsi="Verdana"/>
                <w:sz w:val="20"/>
                <w:szCs w:val="20"/>
              </w:rPr>
              <w:t>.</w:t>
            </w:r>
          </w:p>
          <w:p w:rsidR="00174F42" w:rsidRPr="00174F42" w:rsidRDefault="00174F42" w:rsidP="00F76798">
            <w:pPr>
              <w:rPr>
                <w:rFonts w:ascii="Verdana" w:hAnsi="Verdana"/>
                <w:sz w:val="20"/>
                <w:szCs w:val="20"/>
              </w:rPr>
            </w:pPr>
          </w:p>
          <w:p w:rsidR="00174F42" w:rsidRPr="00174F42" w:rsidRDefault="00174F42" w:rsidP="00F76798">
            <w:pPr>
              <w:rPr>
                <w:rFonts w:ascii="Verdana" w:hAnsi="Verdana"/>
                <w:sz w:val="20"/>
                <w:szCs w:val="20"/>
              </w:rPr>
            </w:pPr>
            <w:r w:rsidRPr="00174F42">
              <w:rPr>
                <w:rFonts w:ascii="Verdana" w:hAnsi="Verdana"/>
                <w:sz w:val="20"/>
                <w:szCs w:val="20"/>
              </w:rPr>
              <w:t>De resultaten voor de werkzaamheid uit de vooraf geplande interimanalyse op basis van de evaluatie door de onafhankelijke toetsingscommissie (</w:t>
            </w:r>
            <w:r w:rsidRPr="00174F42">
              <w:rPr>
                <w:rFonts w:ascii="Verdana" w:hAnsi="Verdana"/>
                <w:i/>
                <w:iCs/>
                <w:sz w:val="20"/>
                <w:szCs w:val="20"/>
              </w:rPr>
              <w:t>Independent Review Committee</w:t>
            </w:r>
            <w:r w:rsidRPr="00174F42">
              <w:rPr>
                <w:rFonts w:ascii="Verdana" w:hAnsi="Verdana"/>
                <w:sz w:val="20"/>
                <w:szCs w:val="20"/>
              </w:rPr>
              <w:t>, IRC) worden hieronder weergegeven.</w:t>
            </w:r>
          </w:p>
          <w:p w:rsidR="00174F42" w:rsidRDefault="00174F42" w:rsidP="00F76798">
            <w:pPr>
              <w:rPr>
                <w:sz w:val="22"/>
                <w:szCs w:val="22"/>
              </w:rPr>
            </w:pPr>
          </w:p>
          <w:p w:rsidR="00174F42" w:rsidRPr="00174F42" w:rsidRDefault="00174F42" w:rsidP="00174F42">
            <w:pPr>
              <w:pStyle w:val="Default"/>
              <w:jc w:val="center"/>
              <w:rPr>
                <w:rFonts w:ascii="Verdana" w:hAnsi="Verdana"/>
                <w:sz w:val="16"/>
                <w:szCs w:val="16"/>
                <w:lang w:val="nl-NL"/>
              </w:rPr>
            </w:pPr>
            <w:r w:rsidRPr="00174F42">
              <w:rPr>
                <w:rFonts w:ascii="Verdana" w:hAnsi="Verdana"/>
                <w:b/>
                <w:bCs/>
                <w:sz w:val="16"/>
                <w:szCs w:val="16"/>
                <w:lang w:val="nl-NL"/>
              </w:rPr>
              <w:t>Door IRC geëvalueerde resultaten voor de werkzaamheid voor studie MMY2002</w:t>
            </w:r>
          </w:p>
          <w:p w:rsidR="00EE48A3" w:rsidRDefault="00174F42" w:rsidP="00EE48A3">
            <w:pPr>
              <w:rPr>
                <w:sz w:val="22"/>
                <w:szCs w:val="22"/>
              </w:rPr>
            </w:pPr>
            <w:r>
              <w:rPr>
                <w:noProof/>
                <w:lang w:val="en-US" w:eastAsia="zh-TW"/>
              </w:rPr>
              <w:drawing>
                <wp:inline distT="0" distB="0" distL="0" distR="0" wp14:anchorId="13DA9CF0" wp14:editId="44C34DE6">
                  <wp:extent cx="46577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68898" cy="1880926"/>
                          </a:xfrm>
                          <a:prstGeom prst="rect">
                            <a:avLst/>
                          </a:prstGeom>
                        </pic:spPr>
                      </pic:pic>
                    </a:graphicData>
                  </a:graphic>
                </wp:inline>
              </w:drawing>
            </w:r>
          </w:p>
          <w:p w:rsidR="00EE48A3" w:rsidRDefault="00EE48A3" w:rsidP="00EE48A3">
            <w:pPr>
              <w:rPr>
                <w:sz w:val="22"/>
                <w:szCs w:val="22"/>
              </w:rPr>
            </w:pPr>
          </w:p>
          <w:p w:rsidR="00EE48A3" w:rsidRPr="00EE48A3" w:rsidRDefault="00EE48A3" w:rsidP="00EE48A3">
            <w:pPr>
              <w:rPr>
                <w:rFonts w:ascii="Verdana" w:hAnsi="Verdana"/>
                <w:b/>
                <w:sz w:val="20"/>
                <w:szCs w:val="20"/>
              </w:rPr>
            </w:pPr>
            <w:r w:rsidRPr="00EE48A3">
              <w:rPr>
                <w:rFonts w:ascii="Verdana" w:hAnsi="Verdana"/>
                <w:sz w:val="20"/>
                <w:szCs w:val="20"/>
              </w:rPr>
              <w:t>Het totaalresponspercentage (</w:t>
            </w:r>
            <w:r w:rsidRPr="00EE48A3">
              <w:rPr>
                <w:rFonts w:ascii="Verdana" w:hAnsi="Verdana"/>
                <w:i/>
                <w:iCs/>
                <w:sz w:val="20"/>
                <w:szCs w:val="20"/>
              </w:rPr>
              <w:t>overall response rate</w:t>
            </w:r>
            <w:r w:rsidRPr="00EE48A3">
              <w:rPr>
                <w:rFonts w:ascii="Verdana" w:hAnsi="Verdana"/>
                <w:sz w:val="20"/>
                <w:szCs w:val="20"/>
              </w:rPr>
              <w:t xml:space="preserve">, ORR) in MMY2002 was vergelijkbaar, ongeacht het type eerdere behandeling voor myeloom. </w:t>
            </w:r>
          </w:p>
          <w:p w:rsidR="00F76798" w:rsidRDefault="00EE48A3" w:rsidP="00EE48A3">
            <w:pPr>
              <w:rPr>
                <w:rFonts w:ascii="Verdana" w:hAnsi="Verdana"/>
                <w:sz w:val="20"/>
                <w:szCs w:val="20"/>
              </w:rPr>
            </w:pPr>
            <w:r w:rsidRPr="00EE48A3">
              <w:rPr>
                <w:rFonts w:ascii="Verdana" w:hAnsi="Verdana"/>
                <w:sz w:val="20"/>
                <w:szCs w:val="20"/>
              </w:rPr>
              <w:t xml:space="preserve">Bij een update van de overleving met een mediane duur van de </w:t>
            </w:r>
            <w:r w:rsidR="00F81AF6">
              <w:rPr>
                <w:rFonts w:ascii="Verdana" w:hAnsi="Verdana"/>
                <w:b/>
                <w:sz w:val="20"/>
                <w:szCs w:val="20"/>
              </w:rPr>
              <w:t>follow-up van 14,</w:t>
            </w:r>
            <w:r w:rsidRPr="00F26A37">
              <w:rPr>
                <w:rFonts w:ascii="Verdana" w:hAnsi="Verdana"/>
                <w:b/>
                <w:sz w:val="20"/>
                <w:szCs w:val="20"/>
              </w:rPr>
              <w:t>7 maanden</w:t>
            </w:r>
            <w:r w:rsidRPr="00EE48A3">
              <w:rPr>
                <w:rFonts w:ascii="Verdana" w:hAnsi="Verdana"/>
                <w:sz w:val="20"/>
                <w:szCs w:val="20"/>
              </w:rPr>
              <w:t xml:space="preserve">, was de </w:t>
            </w:r>
            <w:r w:rsidRPr="00F26A37">
              <w:rPr>
                <w:rFonts w:ascii="Verdana" w:hAnsi="Verdana"/>
                <w:b/>
                <w:sz w:val="20"/>
                <w:szCs w:val="20"/>
              </w:rPr>
              <w:t>mediane totale overleving</w:t>
            </w:r>
            <w:r w:rsidRPr="00EE48A3">
              <w:rPr>
                <w:rFonts w:ascii="Verdana" w:hAnsi="Verdana"/>
                <w:sz w:val="20"/>
                <w:szCs w:val="20"/>
              </w:rPr>
              <w:t xml:space="preserve"> (</w:t>
            </w:r>
            <w:r w:rsidRPr="00EE48A3">
              <w:rPr>
                <w:rFonts w:ascii="Verdana" w:hAnsi="Verdana"/>
                <w:i/>
                <w:iCs/>
                <w:sz w:val="20"/>
                <w:szCs w:val="20"/>
              </w:rPr>
              <w:t>overall survival</w:t>
            </w:r>
            <w:r w:rsidRPr="00EE48A3">
              <w:rPr>
                <w:rFonts w:ascii="Verdana" w:hAnsi="Verdana"/>
                <w:sz w:val="20"/>
                <w:szCs w:val="20"/>
              </w:rPr>
              <w:t>,</w:t>
            </w:r>
            <w:r>
              <w:rPr>
                <w:rFonts w:ascii="Verdana" w:hAnsi="Verdana"/>
                <w:sz w:val="20"/>
                <w:szCs w:val="20"/>
              </w:rPr>
              <w:t xml:space="preserve"> OS) </w:t>
            </w:r>
            <w:r w:rsidR="00F81AF6">
              <w:rPr>
                <w:rFonts w:ascii="Verdana" w:hAnsi="Verdana"/>
                <w:b/>
                <w:sz w:val="20"/>
                <w:szCs w:val="20"/>
              </w:rPr>
              <w:t>17,</w:t>
            </w:r>
            <w:r w:rsidRPr="00F26A37">
              <w:rPr>
                <w:rFonts w:ascii="Verdana" w:hAnsi="Verdana"/>
                <w:b/>
                <w:sz w:val="20"/>
                <w:szCs w:val="20"/>
              </w:rPr>
              <w:t>5 maanden</w:t>
            </w:r>
            <w:r w:rsidR="00F81AF6">
              <w:rPr>
                <w:rFonts w:ascii="Verdana" w:hAnsi="Verdana"/>
                <w:sz w:val="20"/>
                <w:szCs w:val="20"/>
              </w:rPr>
              <w:t xml:space="preserve"> (95%-BI: 13,</w:t>
            </w:r>
            <w:r>
              <w:rPr>
                <w:rFonts w:ascii="Verdana" w:hAnsi="Verdana"/>
                <w:sz w:val="20"/>
                <w:szCs w:val="20"/>
              </w:rPr>
              <w:t>7-</w:t>
            </w:r>
            <w:r w:rsidR="00C2574C">
              <w:rPr>
                <w:rFonts w:ascii="Verdana" w:hAnsi="Verdana"/>
                <w:sz w:val="20"/>
                <w:szCs w:val="20"/>
              </w:rPr>
              <w:t>NE</w:t>
            </w:r>
            <w:r w:rsidRPr="00EE48A3">
              <w:rPr>
                <w:rFonts w:ascii="Verdana" w:hAnsi="Verdana"/>
                <w:sz w:val="20"/>
                <w:szCs w:val="20"/>
              </w:rPr>
              <w:t>).</w:t>
            </w:r>
          </w:p>
          <w:p w:rsidR="00EE48A3" w:rsidRDefault="00EE48A3" w:rsidP="00EE48A3">
            <w:pPr>
              <w:rPr>
                <w:rFonts w:ascii="Verdana" w:hAnsi="Verdana"/>
                <w:sz w:val="20"/>
                <w:szCs w:val="20"/>
              </w:rPr>
            </w:pPr>
          </w:p>
          <w:p w:rsidR="00EE48A3" w:rsidRPr="00EE48A3" w:rsidRDefault="00EE48A3" w:rsidP="00EE48A3">
            <w:pPr>
              <w:rPr>
                <w:rFonts w:ascii="Verdana" w:hAnsi="Verdana"/>
                <w:sz w:val="20"/>
                <w:szCs w:val="20"/>
              </w:rPr>
            </w:pPr>
            <w:r w:rsidRPr="00EE48A3">
              <w:rPr>
                <w:rFonts w:ascii="Verdana" w:hAnsi="Verdana"/>
                <w:sz w:val="20"/>
                <w:szCs w:val="20"/>
              </w:rPr>
              <w:t>In studie GEN501 kregen 42 patiënten met gerecidiveerd en refractair multipel myeloom 16 mg/kg DARZALEX tot aan ziekteprogressie. De mediane leefti</w:t>
            </w:r>
            <w:r>
              <w:rPr>
                <w:rFonts w:ascii="Verdana" w:hAnsi="Verdana"/>
                <w:sz w:val="20"/>
                <w:szCs w:val="20"/>
              </w:rPr>
              <w:t xml:space="preserve">jd van de patiënten was 64 jaar. </w:t>
            </w:r>
            <w:r w:rsidRPr="00EE48A3">
              <w:rPr>
                <w:rFonts w:ascii="Verdana" w:hAnsi="Verdana"/>
                <w:sz w:val="20"/>
                <w:szCs w:val="20"/>
              </w:rPr>
              <w:t>Het mediane aantal voorafgaande behandelingslijnen dat de patiënten in de studie hadden gehad, was 4. Vierenzeventig procent van de patiënten had eerder een ASCT gekregen. Eerdere behandelingen waren onder meer bortezomib (100%), lenalidomide (95%), pomalidomide (36%) en carfilzomib (19%). Bij baseline was 76% van de patiënten refractair voor de laatste behandelingslijn, 64% was refractair voor zowel een PI als een IMiD, 60% was refractair voor alkylerende stoffen, 36% was refractair voor pomalidomide en 17% was refractair voor carfilzomib</w:t>
            </w:r>
            <w:r w:rsidRPr="00EE48A3">
              <w:rPr>
                <w:rFonts w:ascii="Verdana" w:hAnsi="Verdana"/>
                <w:sz w:val="20"/>
                <w:szCs w:val="20"/>
                <w:vertAlign w:val="superscript"/>
              </w:rPr>
              <w:t>2</w:t>
            </w:r>
            <w:r w:rsidRPr="00EE48A3">
              <w:rPr>
                <w:rFonts w:ascii="Verdana" w:hAnsi="Verdana"/>
                <w:sz w:val="20"/>
                <w:szCs w:val="20"/>
              </w:rPr>
              <w:t>.</w:t>
            </w:r>
          </w:p>
          <w:p w:rsidR="00EE48A3" w:rsidRDefault="00EE48A3" w:rsidP="00EE48A3">
            <w:pPr>
              <w:rPr>
                <w:rFonts w:ascii="Verdana" w:hAnsi="Verdana"/>
                <w:b/>
                <w:sz w:val="20"/>
                <w:szCs w:val="20"/>
              </w:rPr>
            </w:pPr>
          </w:p>
          <w:p w:rsidR="00EE48A3" w:rsidRPr="00EE48A3" w:rsidRDefault="00EE48A3" w:rsidP="00EE48A3">
            <w:pPr>
              <w:pStyle w:val="Default"/>
              <w:rPr>
                <w:rFonts w:ascii="Verdana" w:hAnsi="Verdana"/>
                <w:sz w:val="20"/>
                <w:szCs w:val="20"/>
                <w:lang w:val="nl-NL"/>
              </w:rPr>
            </w:pPr>
            <w:r w:rsidRPr="00EE48A3">
              <w:rPr>
                <w:rFonts w:ascii="Verdana" w:hAnsi="Verdana"/>
                <w:sz w:val="20"/>
                <w:szCs w:val="20"/>
                <w:lang w:val="nl-NL"/>
              </w:rPr>
              <w:t>Uit de vooraf geplande interimanalyse bleek dat behandeling met daratumumab met 16 mg/kg leidde to</w:t>
            </w:r>
            <w:r>
              <w:rPr>
                <w:rFonts w:ascii="Verdana" w:hAnsi="Verdana"/>
                <w:sz w:val="20"/>
                <w:szCs w:val="20"/>
                <w:lang w:val="nl-NL"/>
              </w:rPr>
              <w:t>t 36% ORR met 5% CR en 5% VGPR</w:t>
            </w:r>
            <w:r w:rsidRPr="00EE48A3">
              <w:rPr>
                <w:rFonts w:ascii="Verdana" w:hAnsi="Verdana"/>
                <w:sz w:val="20"/>
                <w:szCs w:val="20"/>
                <w:lang w:val="nl-NL"/>
              </w:rPr>
              <w:t>. De mediane tijd tot respons was</w:t>
            </w:r>
            <w:r w:rsidR="00C2574C">
              <w:rPr>
                <w:rFonts w:ascii="Verdana" w:hAnsi="Verdana"/>
                <w:sz w:val="20"/>
                <w:szCs w:val="20"/>
                <w:lang w:val="nl-NL"/>
              </w:rPr>
              <w:t xml:space="preserve"> 1 maand (range: </w:t>
            </w:r>
            <w:r w:rsidR="00F81AF6">
              <w:rPr>
                <w:rFonts w:ascii="Verdana" w:hAnsi="Verdana"/>
                <w:sz w:val="20"/>
                <w:szCs w:val="20"/>
                <w:lang w:val="nl-NL"/>
              </w:rPr>
              <w:t>0,</w:t>
            </w:r>
            <w:r w:rsidR="00C2574C">
              <w:rPr>
                <w:rFonts w:ascii="Verdana" w:hAnsi="Verdana"/>
                <w:sz w:val="20"/>
                <w:szCs w:val="20"/>
                <w:lang w:val="nl-NL"/>
              </w:rPr>
              <w:t>5-</w:t>
            </w:r>
            <w:r w:rsidR="00F81AF6">
              <w:rPr>
                <w:rFonts w:ascii="Verdana" w:hAnsi="Verdana"/>
                <w:sz w:val="20"/>
                <w:szCs w:val="20"/>
                <w:lang w:val="nl-NL"/>
              </w:rPr>
              <w:t>3,</w:t>
            </w:r>
            <w:r w:rsidRPr="00EE48A3">
              <w:rPr>
                <w:rFonts w:ascii="Verdana" w:hAnsi="Verdana"/>
                <w:sz w:val="20"/>
                <w:szCs w:val="20"/>
                <w:lang w:val="nl-NL"/>
              </w:rPr>
              <w:t>2). De mediane duur van de respons werd nie</w:t>
            </w:r>
            <w:r w:rsidR="00F81AF6">
              <w:rPr>
                <w:rFonts w:ascii="Verdana" w:hAnsi="Verdana"/>
                <w:sz w:val="20"/>
                <w:szCs w:val="20"/>
                <w:lang w:val="nl-NL"/>
              </w:rPr>
              <w:t>t bereikt (95%-BI: 5,</w:t>
            </w:r>
            <w:r>
              <w:rPr>
                <w:rFonts w:ascii="Verdana" w:hAnsi="Verdana"/>
                <w:sz w:val="20"/>
                <w:szCs w:val="20"/>
                <w:lang w:val="nl-NL"/>
              </w:rPr>
              <w:t>6 maanden</w:t>
            </w:r>
            <w:r w:rsidR="007D10DB">
              <w:rPr>
                <w:rFonts w:ascii="Verdana" w:hAnsi="Verdana"/>
                <w:sz w:val="20"/>
                <w:szCs w:val="20"/>
                <w:lang w:val="nl-NL"/>
              </w:rPr>
              <w:t>-NE</w:t>
            </w:r>
            <w:r w:rsidRPr="00EE48A3">
              <w:rPr>
                <w:rFonts w:ascii="Verdana" w:hAnsi="Verdana"/>
                <w:sz w:val="20"/>
                <w:szCs w:val="20"/>
                <w:lang w:val="nl-NL"/>
              </w:rPr>
              <w:t xml:space="preserve">). </w:t>
            </w:r>
          </w:p>
          <w:p w:rsidR="00EE48A3" w:rsidRDefault="00EE48A3" w:rsidP="00EE48A3">
            <w:pPr>
              <w:rPr>
                <w:rFonts w:ascii="Verdana" w:hAnsi="Verdana"/>
                <w:sz w:val="20"/>
                <w:szCs w:val="20"/>
              </w:rPr>
            </w:pPr>
            <w:r w:rsidRPr="00EE48A3">
              <w:rPr>
                <w:rFonts w:ascii="Verdana" w:hAnsi="Verdana"/>
                <w:sz w:val="20"/>
                <w:szCs w:val="20"/>
              </w:rPr>
              <w:lastRenderedPageBreak/>
              <w:t xml:space="preserve">Bij een update van de overleving met een mediane duur van de </w:t>
            </w:r>
            <w:r w:rsidR="00F81AF6">
              <w:rPr>
                <w:rFonts w:ascii="Verdana" w:hAnsi="Verdana"/>
                <w:b/>
                <w:sz w:val="20"/>
                <w:szCs w:val="20"/>
              </w:rPr>
              <w:t>follow-up van 15,</w:t>
            </w:r>
            <w:r w:rsidRPr="00F26A37">
              <w:rPr>
                <w:rFonts w:ascii="Verdana" w:hAnsi="Verdana"/>
                <w:b/>
                <w:sz w:val="20"/>
                <w:szCs w:val="20"/>
              </w:rPr>
              <w:t>2 maanden, werd de mediane OS niet bereikt</w:t>
            </w:r>
            <w:r w:rsidR="00C2574C">
              <w:rPr>
                <w:rFonts w:ascii="Verdana" w:hAnsi="Verdana"/>
                <w:sz w:val="20"/>
                <w:szCs w:val="20"/>
              </w:rPr>
              <w:t xml:space="preserve"> (95</w:t>
            </w:r>
            <w:r w:rsidR="00F81AF6">
              <w:rPr>
                <w:rFonts w:ascii="Verdana" w:hAnsi="Verdana"/>
                <w:sz w:val="20"/>
                <w:szCs w:val="20"/>
              </w:rPr>
              <w:t>%-BI: 19,</w:t>
            </w:r>
            <w:r w:rsidR="00C2574C">
              <w:rPr>
                <w:rFonts w:ascii="Verdana" w:hAnsi="Verdana"/>
                <w:sz w:val="20"/>
                <w:szCs w:val="20"/>
              </w:rPr>
              <w:t>9 maanden-NE</w:t>
            </w:r>
            <w:r w:rsidRPr="00EE48A3">
              <w:rPr>
                <w:rFonts w:ascii="Verdana" w:hAnsi="Verdana"/>
                <w:sz w:val="20"/>
                <w:szCs w:val="20"/>
              </w:rPr>
              <w:t xml:space="preserve">), </w:t>
            </w:r>
            <w:r w:rsidRPr="00F26A37">
              <w:rPr>
                <w:rFonts w:ascii="Verdana" w:hAnsi="Verdana"/>
                <w:b/>
                <w:sz w:val="20"/>
                <w:szCs w:val="20"/>
              </w:rPr>
              <w:t>met 74% van de personen nog in leven</w:t>
            </w:r>
            <w:r w:rsidRPr="00EE48A3">
              <w:rPr>
                <w:rFonts w:ascii="Verdana" w:hAnsi="Verdana"/>
                <w:sz w:val="20"/>
                <w:szCs w:val="20"/>
              </w:rPr>
              <w:t>.</w:t>
            </w:r>
          </w:p>
          <w:p w:rsidR="00DD0844" w:rsidRDefault="00DD0844" w:rsidP="00700579">
            <w:pPr>
              <w:autoSpaceDE w:val="0"/>
              <w:autoSpaceDN w:val="0"/>
              <w:adjustRightInd w:val="0"/>
              <w:rPr>
                <w:rFonts w:ascii="Verdana" w:hAnsi="Verdana"/>
                <w:sz w:val="20"/>
                <w:szCs w:val="20"/>
              </w:rPr>
            </w:pPr>
          </w:p>
          <w:p w:rsidR="00DD0844" w:rsidRDefault="00700579" w:rsidP="00700579">
            <w:pPr>
              <w:autoSpaceDE w:val="0"/>
              <w:autoSpaceDN w:val="0"/>
              <w:adjustRightInd w:val="0"/>
              <w:rPr>
                <w:rFonts w:ascii="Verdana" w:hAnsi="Verdana"/>
                <w:sz w:val="20"/>
                <w:szCs w:val="20"/>
              </w:rPr>
            </w:pPr>
            <w:r>
              <w:rPr>
                <w:rFonts w:ascii="Verdana" w:hAnsi="Verdana"/>
                <w:sz w:val="20"/>
                <w:szCs w:val="20"/>
              </w:rPr>
              <w:t xml:space="preserve">De gepoolde analyse van 148 patienten behandeld met daratumumab </w:t>
            </w:r>
          </w:p>
          <w:p w:rsidR="000B7C5F" w:rsidRPr="00167456" w:rsidRDefault="00700579" w:rsidP="00700579">
            <w:pPr>
              <w:autoSpaceDE w:val="0"/>
              <w:autoSpaceDN w:val="0"/>
              <w:adjustRightInd w:val="0"/>
              <w:rPr>
                <w:rFonts w:ascii="Verdana" w:hAnsi="Verdana"/>
                <w:sz w:val="20"/>
                <w:szCs w:val="20"/>
              </w:rPr>
            </w:pPr>
            <w:r>
              <w:rPr>
                <w:rFonts w:ascii="Verdana" w:hAnsi="Verdana"/>
                <w:sz w:val="20"/>
                <w:szCs w:val="20"/>
              </w:rPr>
              <w:t xml:space="preserve">monotherapie 16mg/kg (GEN501 &amp; SIRIUS) laat </w:t>
            </w:r>
            <w:r w:rsidR="00C2574C">
              <w:rPr>
                <w:rFonts w:ascii="Verdana" w:hAnsi="Verdana"/>
                <w:sz w:val="20"/>
                <w:szCs w:val="20"/>
              </w:rPr>
              <w:t>een ORR</w:t>
            </w:r>
            <w:r w:rsidR="00F81AF6">
              <w:rPr>
                <w:rFonts w:ascii="Verdana" w:hAnsi="Verdana"/>
                <w:sz w:val="20"/>
                <w:szCs w:val="20"/>
              </w:rPr>
              <w:t xml:space="preserve"> van 31,1% (4,</w:t>
            </w:r>
            <w:r w:rsidR="00167456">
              <w:rPr>
                <w:rFonts w:ascii="Verdana" w:hAnsi="Verdana"/>
                <w:sz w:val="20"/>
                <w:szCs w:val="20"/>
              </w:rPr>
              <w:t xml:space="preserve">7% ≥CR) en </w:t>
            </w:r>
            <w:r w:rsidRPr="00700579">
              <w:rPr>
                <w:rFonts w:ascii="Verdana" w:hAnsi="Verdana"/>
                <w:b/>
                <w:sz w:val="20"/>
                <w:szCs w:val="20"/>
              </w:rPr>
              <w:t>een mediane OS van</w:t>
            </w:r>
            <w:r w:rsidR="00F81AF6">
              <w:rPr>
                <w:rFonts w:ascii="Verdana" w:hAnsi="Verdana"/>
                <w:b/>
                <w:sz w:val="20"/>
                <w:szCs w:val="20"/>
              </w:rPr>
              <w:t xml:space="preserve"> 20,</w:t>
            </w:r>
            <w:r w:rsidRPr="00700579">
              <w:rPr>
                <w:rFonts w:ascii="Verdana" w:hAnsi="Verdana"/>
                <w:b/>
                <w:sz w:val="20"/>
                <w:szCs w:val="20"/>
              </w:rPr>
              <w:t>1 maanden</w:t>
            </w:r>
            <w:r>
              <w:rPr>
                <w:rFonts w:ascii="Verdana" w:hAnsi="Verdana"/>
                <w:sz w:val="20"/>
                <w:szCs w:val="20"/>
              </w:rPr>
              <w:t xml:space="preserve"> zien voor de gecombineerde studiepopulatie met mediaan 5 voorgaande behandelingen </w:t>
            </w:r>
            <w:r w:rsidR="00C2574C">
              <w:rPr>
                <w:rFonts w:ascii="Verdana" w:hAnsi="Verdana"/>
                <w:sz w:val="20"/>
                <w:szCs w:val="20"/>
              </w:rPr>
              <w:t>(range</w:t>
            </w:r>
            <w:r>
              <w:rPr>
                <w:rFonts w:ascii="Verdana" w:hAnsi="Verdana"/>
                <w:sz w:val="20"/>
                <w:szCs w:val="20"/>
              </w:rPr>
              <w:t>: 2-14)</w:t>
            </w:r>
            <w:r w:rsidRPr="00700579">
              <w:rPr>
                <w:rFonts w:ascii="Verdana" w:hAnsi="Verdana"/>
                <w:sz w:val="20"/>
                <w:szCs w:val="20"/>
                <w:vertAlign w:val="superscript"/>
              </w:rPr>
              <w:t>1-3</w:t>
            </w:r>
            <w:r>
              <w:rPr>
                <w:rFonts w:ascii="Verdana" w:hAnsi="Verdana"/>
                <w:sz w:val="20"/>
                <w:szCs w:val="20"/>
              </w:rPr>
              <w:t>.</w:t>
            </w:r>
          </w:p>
          <w:p w:rsidR="00700579" w:rsidRPr="00700579" w:rsidRDefault="00700579" w:rsidP="00EE48A3">
            <w:pPr>
              <w:rPr>
                <w:rFonts w:ascii="Verdana" w:hAnsi="Verdana"/>
                <w:sz w:val="20"/>
                <w:szCs w:val="20"/>
              </w:rPr>
            </w:pPr>
          </w:p>
          <w:p w:rsidR="000B7C5F" w:rsidRDefault="000B7C5F" w:rsidP="00EE48A3">
            <w:pPr>
              <w:rPr>
                <w:rFonts w:ascii="Verdana" w:hAnsi="Verdana"/>
                <w:b/>
                <w:sz w:val="20"/>
                <w:szCs w:val="20"/>
              </w:rPr>
            </w:pPr>
            <w:r>
              <w:rPr>
                <w:rFonts w:ascii="Verdana" w:hAnsi="Verdana"/>
                <w:b/>
                <w:sz w:val="20"/>
                <w:szCs w:val="20"/>
              </w:rPr>
              <w:t>Veiligheid</w:t>
            </w:r>
          </w:p>
          <w:p w:rsidR="00C5354B" w:rsidRPr="00C5354B" w:rsidRDefault="00C5354B" w:rsidP="00C5354B">
            <w:pPr>
              <w:pStyle w:val="Default"/>
              <w:rPr>
                <w:rFonts w:ascii="Verdana" w:hAnsi="Verdana"/>
                <w:sz w:val="20"/>
                <w:szCs w:val="20"/>
                <w:lang w:val="nl-NL"/>
              </w:rPr>
            </w:pPr>
            <w:r w:rsidRPr="00C5354B">
              <w:rPr>
                <w:rFonts w:ascii="Verdana" w:hAnsi="Verdana"/>
                <w:sz w:val="20"/>
                <w:szCs w:val="20"/>
                <w:lang w:val="nl-NL"/>
              </w:rPr>
              <w:t xml:space="preserve">Onderstaande tabel geeft een samenvatting van de bijwerkingen die optraden bij patiënten die DARZALEX kregen toegediend. De gegevens zijn een weergave van de blootstelling aan DARZALEX in drie </w:t>
            </w:r>
            <w:r w:rsidRPr="00C5354B">
              <w:rPr>
                <w:rFonts w:ascii="Verdana" w:hAnsi="Verdana"/>
                <w:i/>
                <w:iCs/>
                <w:sz w:val="20"/>
                <w:szCs w:val="20"/>
                <w:lang w:val="nl-NL"/>
              </w:rPr>
              <w:t xml:space="preserve">gepoolde </w:t>
            </w:r>
            <w:r w:rsidRPr="00C5354B">
              <w:rPr>
                <w:rFonts w:ascii="Verdana" w:hAnsi="Verdana"/>
                <w:sz w:val="20"/>
                <w:szCs w:val="20"/>
                <w:lang w:val="nl-NL"/>
              </w:rPr>
              <w:t>open-label klinische studies waaraan 156 patiënten hebben deelgenomen met gerecidiveerd en refractair multipel myeloom die werden behandeld met DARZALEX 16 mg/kg. De mediane duur van de behandeling met DARZALEX was 3,3 maanden, waarbij de langste behandeli</w:t>
            </w:r>
            <w:r w:rsidR="002501AE">
              <w:rPr>
                <w:rFonts w:ascii="Verdana" w:hAnsi="Verdana"/>
                <w:sz w:val="20"/>
                <w:szCs w:val="20"/>
                <w:lang w:val="nl-NL"/>
              </w:rPr>
              <w:t>ngsduur 20 maanden was</w:t>
            </w:r>
            <w:r w:rsidRPr="00C5354B">
              <w:rPr>
                <w:rFonts w:ascii="Verdana" w:hAnsi="Verdana"/>
                <w:sz w:val="20"/>
                <w:szCs w:val="20"/>
                <w:vertAlign w:val="superscript"/>
                <w:lang w:val="nl-NL"/>
              </w:rPr>
              <w:t>1-3</w:t>
            </w:r>
            <w:r w:rsidRPr="00C5354B">
              <w:rPr>
                <w:rFonts w:ascii="Verdana" w:hAnsi="Verdana"/>
                <w:sz w:val="20"/>
                <w:szCs w:val="20"/>
                <w:lang w:val="nl-NL"/>
              </w:rPr>
              <w:t xml:space="preserve">. </w:t>
            </w:r>
          </w:p>
          <w:p w:rsidR="000B7C5F" w:rsidRPr="00C5354B" w:rsidRDefault="00C5354B" w:rsidP="00C5354B">
            <w:pPr>
              <w:autoSpaceDE w:val="0"/>
              <w:autoSpaceDN w:val="0"/>
              <w:adjustRightInd w:val="0"/>
              <w:rPr>
                <w:rFonts w:ascii="Verdana" w:hAnsi="Verdana"/>
                <w:sz w:val="20"/>
                <w:szCs w:val="20"/>
              </w:rPr>
            </w:pPr>
            <w:r w:rsidRPr="00C5354B">
              <w:rPr>
                <w:rFonts w:ascii="Verdana" w:hAnsi="Verdana"/>
                <w:sz w:val="20"/>
                <w:szCs w:val="20"/>
              </w:rPr>
              <w:t xml:space="preserve">De frequenties zijn gedefinieerd als: zeer vaak (≥ 1/10), vaak (≥ 1/100, &lt; 1/10), soms (≥ 1/1.000, &lt; 1/100), zelden (≥ 1/10.000, &lt; 1/1.000) en zeer zelden (&lt; 1/10.000). Binnen elke frequentiegroep zijn, waar relevant, de bijwerkingen aangegeven in volgorde van afnemende ernst. </w:t>
            </w:r>
          </w:p>
          <w:p w:rsidR="00D40E80" w:rsidRDefault="00D40E80" w:rsidP="006E6C7C">
            <w:pPr>
              <w:autoSpaceDE w:val="0"/>
              <w:autoSpaceDN w:val="0"/>
              <w:adjustRightInd w:val="0"/>
              <w:rPr>
                <w:rFonts w:ascii="Verdana" w:hAnsi="Verdana"/>
                <w:sz w:val="20"/>
                <w:szCs w:val="20"/>
              </w:rPr>
            </w:pPr>
          </w:p>
          <w:p w:rsidR="00A60834" w:rsidRDefault="00A60834" w:rsidP="006E6C7C">
            <w:pPr>
              <w:autoSpaceDE w:val="0"/>
              <w:autoSpaceDN w:val="0"/>
              <w:adjustRightInd w:val="0"/>
              <w:rPr>
                <w:rFonts w:ascii="Verdana" w:hAnsi="Verdana"/>
                <w:sz w:val="20"/>
                <w:szCs w:val="20"/>
              </w:rPr>
            </w:pPr>
          </w:p>
          <w:p w:rsidR="00C11046" w:rsidRDefault="00C11046" w:rsidP="00C11046">
            <w:pPr>
              <w:pStyle w:val="Default"/>
              <w:jc w:val="center"/>
              <w:rPr>
                <w:rFonts w:ascii="Verdana" w:hAnsi="Verdana"/>
                <w:b/>
                <w:bCs/>
                <w:sz w:val="16"/>
                <w:szCs w:val="16"/>
                <w:lang w:val="nl-NL"/>
              </w:rPr>
            </w:pPr>
            <w:r w:rsidRPr="00C11046">
              <w:rPr>
                <w:rFonts w:ascii="Verdana" w:hAnsi="Verdana"/>
                <w:b/>
                <w:bCs/>
                <w:sz w:val="16"/>
                <w:szCs w:val="16"/>
                <w:lang w:val="nl-NL"/>
              </w:rPr>
              <w:t xml:space="preserve">Bijwerkingen bij multipel myeloom-patiënten behandeld </w:t>
            </w:r>
          </w:p>
          <w:p w:rsidR="00C11046" w:rsidRPr="00C11046" w:rsidRDefault="00C11046" w:rsidP="00C11046">
            <w:pPr>
              <w:pStyle w:val="Default"/>
              <w:jc w:val="center"/>
              <w:rPr>
                <w:rFonts w:ascii="Verdana" w:hAnsi="Verdana"/>
                <w:sz w:val="16"/>
                <w:szCs w:val="16"/>
                <w:lang w:val="nl-NL"/>
              </w:rPr>
            </w:pPr>
            <w:r w:rsidRPr="00C11046">
              <w:rPr>
                <w:rFonts w:ascii="Verdana" w:hAnsi="Verdana"/>
                <w:b/>
                <w:bCs/>
                <w:sz w:val="16"/>
                <w:szCs w:val="16"/>
                <w:lang w:val="nl-NL"/>
              </w:rPr>
              <w:t>met daratumumab 16 mg/kg</w:t>
            </w:r>
          </w:p>
          <w:p w:rsidR="000B7C5F" w:rsidRDefault="00C5354B" w:rsidP="00EE48A3">
            <w:pPr>
              <w:rPr>
                <w:rFonts w:ascii="Verdana" w:hAnsi="Verdana"/>
                <w:sz w:val="20"/>
                <w:szCs w:val="20"/>
              </w:rPr>
            </w:pPr>
            <w:r>
              <w:rPr>
                <w:noProof/>
                <w:lang w:val="en-US" w:eastAsia="zh-TW"/>
              </w:rPr>
              <w:drawing>
                <wp:inline distT="0" distB="0" distL="0" distR="0" wp14:anchorId="35B0384F" wp14:editId="1569C1A7">
                  <wp:extent cx="4666312" cy="3238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8183" cy="3246739"/>
                          </a:xfrm>
                          <a:prstGeom prst="rect">
                            <a:avLst/>
                          </a:prstGeom>
                        </pic:spPr>
                      </pic:pic>
                    </a:graphicData>
                  </a:graphic>
                </wp:inline>
              </w:drawing>
            </w:r>
          </w:p>
          <w:p w:rsidR="00C5354B" w:rsidRDefault="00C5354B" w:rsidP="00A60834">
            <w:pPr>
              <w:rPr>
                <w:rFonts w:ascii="Verdana" w:hAnsi="Verdana"/>
                <w:b/>
                <w:sz w:val="20"/>
                <w:szCs w:val="20"/>
              </w:rPr>
            </w:pPr>
            <w:r>
              <w:rPr>
                <w:noProof/>
                <w:lang w:val="en-US" w:eastAsia="zh-TW"/>
              </w:rPr>
              <w:lastRenderedPageBreak/>
              <w:drawing>
                <wp:inline distT="0" distB="0" distL="0" distR="0" wp14:anchorId="3790A9B9" wp14:editId="5875C88C">
                  <wp:extent cx="4657725" cy="142319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8821" cy="1438807"/>
                          </a:xfrm>
                          <a:prstGeom prst="rect">
                            <a:avLst/>
                          </a:prstGeom>
                        </pic:spPr>
                      </pic:pic>
                    </a:graphicData>
                  </a:graphic>
                </wp:inline>
              </w:drawing>
            </w:r>
          </w:p>
          <w:p w:rsidR="00A60834" w:rsidRPr="00A60834" w:rsidRDefault="00A60834" w:rsidP="00A60834">
            <w:pPr>
              <w:rPr>
                <w:rFonts w:ascii="Verdana" w:hAnsi="Verdana"/>
                <w:b/>
                <w:sz w:val="20"/>
                <w:szCs w:val="20"/>
              </w:rPr>
            </w:pPr>
          </w:p>
          <w:p w:rsidR="00DD0844" w:rsidRDefault="00DD0844" w:rsidP="00C5354B">
            <w:pPr>
              <w:pStyle w:val="Default"/>
              <w:rPr>
                <w:rFonts w:ascii="Verdana" w:hAnsi="Verdana"/>
                <w:sz w:val="20"/>
                <w:szCs w:val="20"/>
                <w:lang w:val="nl-NL"/>
              </w:rPr>
            </w:pPr>
          </w:p>
          <w:p w:rsidR="00DD0844" w:rsidRDefault="00C5354B" w:rsidP="00C5354B">
            <w:pPr>
              <w:pStyle w:val="Default"/>
              <w:rPr>
                <w:rFonts w:ascii="Verdana" w:hAnsi="Verdana"/>
                <w:sz w:val="20"/>
                <w:szCs w:val="20"/>
                <w:lang w:val="nl-NL"/>
              </w:rPr>
            </w:pPr>
            <w:r w:rsidRPr="00C5354B">
              <w:rPr>
                <w:rFonts w:ascii="Verdana" w:hAnsi="Verdana"/>
                <w:sz w:val="20"/>
                <w:szCs w:val="20"/>
                <w:lang w:val="nl-NL"/>
              </w:rPr>
              <w:t xml:space="preserve">Infusiegerelateerde reacties omvatten onder meer, maar niet uitsluitend, de volgende termen voor bijwerkingen: neusverstopping, hoesten, koude rillingen, allergische rinitis, keelirritatie, dyspneu, </w:t>
            </w:r>
          </w:p>
          <w:p w:rsidR="00C5354B" w:rsidRPr="00C5354B" w:rsidRDefault="00C5354B" w:rsidP="00C5354B">
            <w:pPr>
              <w:pStyle w:val="Default"/>
              <w:rPr>
                <w:rFonts w:ascii="Verdana" w:hAnsi="Verdana"/>
                <w:sz w:val="20"/>
                <w:szCs w:val="20"/>
                <w:lang w:val="nl-NL"/>
              </w:rPr>
            </w:pPr>
            <w:r w:rsidRPr="00C5354B">
              <w:rPr>
                <w:rFonts w:ascii="Verdana" w:hAnsi="Verdana"/>
                <w:sz w:val="20"/>
                <w:szCs w:val="20"/>
                <w:lang w:val="nl-NL"/>
              </w:rPr>
              <w:t xml:space="preserve">nausea (alle ≥ 5%), bronchospasme (2,6%), hypertensie (1,3%) en hypoxie (1,3%). </w:t>
            </w:r>
          </w:p>
          <w:p w:rsidR="00125EAC" w:rsidRPr="00C5354B" w:rsidRDefault="00C5354B" w:rsidP="00C5354B">
            <w:pPr>
              <w:pStyle w:val="Default"/>
              <w:rPr>
                <w:rFonts w:ascii="Verdana" w:hAnsi="Verdana"/>
                <w:sz w:val="20"/>
                <w:szCs w:val="20"/>
                <w:lang w:val="nl-NL"/>
              </w:rPr>
            </w:pPr>
            <w:r w:rsidRPr="00C5354B">
              <w:rPr>
                <w:rFonts w:ascii="Verdana" w:hAnsi="Verdana"/>
                <w:sz w:val="20"/>
                <w:szCs w:val="20"/>
                <w:lang w:val="nl-NL"/>
              </w:rPr>
              <w:t>De mediane tijd tot het optreden van een reactie was 1,5 uur (bereik: 0,02 tot 9,3 uur). De mediane infusieduur bij de eerste, tweede en daaropvolgende infusies was respectievelijk 7,0; 4,6 en 3,4 uur.</w:t>
            </w:r>
          </w:p>
          <w:p w:rsidR="00125EAC" w:rsidRPr="00125EAC" w:rsidRDefault="00125EAC" w:rsidP="00125EAC">
            <w:pPr>
              <w:pStyle w:val="Default"/>
              <w:rPr>
                <w:rFonts w:ascii="Verdana" w:hAnsi="Verdana"/>
                <w:sz w:val="20"/>
                <w:szCs w:val="20"/>
                <w:lang w:val="nl-NL"/>
              </w:rPr>
            </w:pPr>
            <w:r w:rsidRPr="00125EAC">
              <w:rPr>
                <w:rFonts w:ascii="Verdana" w:hAnsi="Verdana" w:cs="AdvOT3c2d9f11"/>
                <w:sz w:val="20"/>
                <w:szCs w:val="20"/>
                <w:lang w:val="nl-NL"/>
              </w:rPr>
              <w:t>Het opt</w:t>
            </w:r>
            <w:r w:rsidR="00F81AF6">
              <w:rPr>
                <w:rFonts w:ascii="Verdana" w:hAnsi="Verdana" w:cs="AdvOT3c2d9f11"/>
                <w:sz w:val="20"/>
                <w:szCs w:val="20"/>
                <w:lang w:val="nl-NL"/>
              </w:rPr>
              <w:t>reden van IRRs werd meestal (95,</w:t>
            </w:r>
            <w:r w:rsidRPr="00125EAC">
              <w:rPr>
                <w:rFonts w:ascii="Verdana" w:hAnsi="Verdana" w:cs="AdvOT3c2d9f11"/>
                <w:sz w:val="20"/>
                <w:szCs w:val="20"/>
                <w:lang w:val="nl-NL"/>
              </w:rPr>
              <w:t xml:space="preserve">8%) </w:t>
            </w:r>
            <w:r w:rsidRPr="003967ED">
              <w:rPr>
                <w:rFonts w:ascii="Verdana" w:hAnsi="Verdana" w:cs="AdvOT3c2d9f11"/>
                <w:sz w:val="20"/>
                <w:szCs w:val="20"/>
                <w:lang w:val="nl-NL"/>
              </w:rPr>
              <w:t>geobserveerd tijdens de eerste infusie, en de incidentie van IRR</w:t>
            </w:r>
            <w:r w:rsidR="00F81AF6">
              <w:rPr>
                <w:rFonts w:ascii="Verdana" w:hAnsi="Verdana" w:cs="AdvOT3c2d9f11"/>
                <w:sz w:val="20"/>
                <w:szCs w:val="20"/>
                <w:lang w:val="nl-NL"/>
              </w:rPr>
              <w:t>s nam af gedurende de tweede (7,0%) en latere (7,</w:t>
            </w:r>
            <w:r w:rsidRPr="003967ED">
              <w:rPr>
                <w:rFonts w:ascii="Verdana" w:hAnsi="Verdana" w:cs="AdvOT3c2d9f11"/>
                <w:sz w:val="20"/>
                <w:szCs w:val="20"/>
                <w:lang w:val="nl-NL"/>
              </w:rPr>
              <w:t xml:space="preserve">0%) infusies (sommige patienten ervaren &gt;1 IRR). </w:t>
            </w:r>
            <w:r>
              <w:rPr>
                <w:rFonts w:ascii="Verdana" w:hAnsi="Verdana" w:cs="AdvOT3c2d9f11"/>
                <w:sz w:val="20"/>
                <w:szCs w:val="20"/>
                <w:lang w:val="nl-NL"/>
              </w:rPr>
              <w:t>IRRs werden</w:t>
            </w:r>
            <w:r w:rsidRPr="00125EAC">
              <w:rPr>
                <w:rFonts w:ascii="Verdana" w:hAnsi="Verdana" w:cs="AdvOT3c2d9f11"/>
                <w:sz w:val="20"/>
                <w:szCs w:val="20"/>
                <w:lang w:val="nl-NL"/>
              </w:rPr>
              <w:t xml:space="preserve"> veilig </w:t>
            </w:r>
            <w:r>
              <w:rPr>
                <w:rFonts w:ascii="Verdana" w:hAnsi="Verdana" w:cs="AdvOT3c2d9f11"/>
                <w:sz w:val="20"/>
                <w:szCs w:val="20"/>
                <w:lang w:val="nl-NL"/>
              </w:rPr>
              <w:t>gehanteerd</w:t>
            </w:r>
            <w:r w:rsidRPr="00125EAC">
              <w:rPr>
                <w:rFonts w:ascii="Verdana" w:hAnsi="Verdana" w:cs="AdvOT3c2d9f11"/>
                <w:sz w:val="20"/>
                <w:szCs w:val="20"/>
                <w:lang w:val="nl-NL"/>
              </w:rPr>
              <w:t xml:space="preserve"> met pre- en postinfusie medicatie, bestaande uit </w:t>
            </w:r>
            <w:r w:rsidRPr="00125EAC">
              <w:rPr>
                <w:rFonts w:ascii="Verdana" w:hAnsi="Verdana"/>
                <w:sz w:val="20"/>
                <w:szCs w:val="20"/>
                <w:lang w:val="nl-NL"/>
              </w:rPr>
              <w:t>antihistaminica, corticosteroïden en antipyretica</w:t>
            </w:r>
            <w:r w:rsidR="00C569B8">
              <w:rPr>
                <w:rFonts w:ascii="Verdana" w:hAnsi="Verdana"/>
                <w:sz w:val="20"/>
                <w:szCs w:val="20"/>
                <w:vertAlign w:val="superscript"/>
                <w:lang w:val="nl-NL"/>
              </w:rPr>
              <w:t>1-3</w:t>
            </w:r>
            <w:r w:rsidRPr="00125EAC">
              <w:rPr>
                <w:rFonts w:ascii="Verdana" w:hAnsi="Verdana"/>
                <w:sz w:val="20"/>
                <w:szCs w:val="20"/>
                <w:lang w:val="nl-NL"/>
              </w:rPr>
              <w:t xml:space="preserve">. </w:t>
            </w:r>
          </w:p>
          <w:p w:rsidR="00125EAC" w:rsidRPr="00125EAC" w:rsidRDefault="00125EAC" w:rsidP="00125EAC">
            <w:pPr>
              <w:autoSpaceDE w:val="0"/>
              <w:autoSpaceDN w:val="0"/>
              <w:adjustRightInd w:val="0"/>
              <w:rPr>
                <w:rFonts w:ascii="AdvOT3c2d9f11" w:hAnsi="AdvOT3c2d9f11" w:cs="AdvOT3c2d9f11"/>
                <w:sz w:val="18"/>
                <w:szCs w:val="18"/>
              </w:rPr>
            </w:pPr>
          </w:p>
          <w:p w:rsidR="000B7C5F" w:rsidRPr="00F240FC" w:rsidRDefault="00D40E80" w:rsidP="000B7C5F">
            <w:pPr>
              <w:rPr>
                <w:rFonts w:ascii="Verdana" w:hAnsi="Verdana"/>
                <w:b/>
                <w:sz w:val="20"/>
                <w:szCs w:val="20"/>
              </w:rPr>
            </w:pPr>
            <w:r>
              <w:rPr>
                <w:rFonts w:ascii="Verdana" w:hAnsi="Verdana"/>
                <w:b/>
                <w:sz w:val="20"/>
                <w:szCs w:val="20"/>
              </w:rPr>
              <w:t>E</w:t>
            </w:r>
            <w:r w:rsidR="000B7C5F" w:rsidRPr="00F240FC">
              <w:rPr>
                <w:rFonts w:ascii="Verdana" w:hAnsi="Verdana"/>
                <w:b/>
                <w:sz w:val="20"/>
                <w:szCs w:val="20"/>
              </w:rPr>
              <w:t>indconclusie therapeutische waarde</w:t>
            </w:r>
          </w:p>
          <w:p w:rsidR="00082E2E" w:rsidRDefault="000B7C5F" w:rsidP="00B82309">
            <w:pPr>
              <w:autoSpaceDE w:val="0"/>
              <w:autoSpaceDN w:val="0"/>
              <w:adjustRightInd w:val="0"/>
              <w:rPr>
                <w:rFonts w:ascii="Verdana" w:hAnsi="Verdana"/>
                <w:sz w:val="20"/>
                <w:szCs w:val="20"/>
              </w:rPr>
            </w:pPr>
            <w:r w:rsidRPr="00F240FC">
              <w:rPr>
                <w:rFonts w:ascii="Verdana" w:hAnsi="Verdana"/>
                <w:sz w:val="20"/>
                <w:szCs w:val="20"/>
              </w:rPr>
              <w:t xml:space="preserve">Behandeling met monotherapie </w:t>
            </w:r>
            <w:r>
              <w:rPr>
                <w:rFonts w:ascii="Verdana" w:hAnsi="Verdana"/>
                <w:sz w:val="20"/>
                <w:szCs w:val="20"/>
              </w:rPr>
              <w:t xml:space="preserve">daratumumab </w:t>
            </w:r>
            <w:r w:rsidR="00167456">
              <w:rPr>
                <w:rFonts w:ascii="Verdana" w:hAnsi="Verdana"/>
                <w:sz w:val="20"/>
                <w:szCs w:val="20"/>
              </w:rPr>
              <w:t xml:space="preserve">wordt goed verdragen en leidt </w:t>
            </w:r>
            <w:r w:rsidRPr="00F240FC">
              <w:rPr>
                <w:rFonts w:ascii="Verdana" w:hAnsi="Verdana"/>
                <w:sz w:val="20"/>
                <w:szCs w:val="20"/>
              </w:rPr>
              <w:t>tot</w:t>
            </w:r>
            <w:r w:rsidR="00167456">
              <w:rPr>
                <w:rFonts w:ascii="Verdana" w:hAnsi="Verdana"/>
                <w:sz w:val="20"/>
                <w:szCs w:val="20"/>
              </w:rPr>
              <w:t xml:space="preserve"> </w:t>
            </w:r>
            <w:r w:rsidR="00F81AF6">
              <w:rPr>
                <w:rFonts w:ascii="Verdana" w:hAnsi="Verdana"/>
                <w:sz w:val="20"/>
                <w:szCs w:val="20"/>
              </w:rPr>
              <w:t>hoge responspercentages (ORR 31,</w:t>
            </w:r>
            <w:r w:rsidR="00167456">
              <w:rPr>
                <w:rFonts w:ascii="Verdana" w:hAnsi="Verdana"/>
                <w:sz w:val="20"/>
                <w:szCs w:val="20"/>
              </w:rPr>
              <w:t>1% met 4,7</w:t>
            </w:r>
            <w:r w:rsidRPr="00F240FC">
              <w:rPr>
                <w:rFonts w:ascii="Verdana" w:hAnsi="Verdana"/>
                <w:sz w:val="20"/>
                <w:szCs w:val="20"/>
              </w:rPr>
              <w:t xml:space="preserve">% </w:t>
            </w:r>
            <w:r w:rsidR="00167456">
              <w:rPr>
                <w:rFonts w:ascii="Verdana" w:hAnsi="Verdana"/>
                <w:sz w:val="20"/>
                <w:szCs w:val="20"/>
              </w:rPr>
              <w:t>≥</w:t>
            </w:r>
            <w:r w:rsidRPr="00F240FC">
              <w:rPr>
                <w:rFonts w:ascii="Verdana" w:hAnsi="Verdana"/>
                <w:sz w:val="20"/>
                <w:szCs w:val="20"/>
              </w:rPr>
              <w:t>CR)</w:t>
            </w:r>
            <w:r w:rsidR="00B82309">
              <w:rPr>
                <w:rFonts w:ascii="Verdana" w:hAnsi="Verdana"/>
                <w:sz w:val="20"/>
                <w:szCs w:val="20"/>
              </w:rPr>
              <w:t xml:space="preserve"> en een mediane OS van 20,1 maanden</w:t>
            </w:r>
            <w:r w:rsidR="00B82309">
              <w:rPr>
                <w:rFonts w:ascii="Verdana" w:hAnsi="Verdana"/>
                <w:sz w:val="20"/>
                <w:szCs w:val="20"/>
                <w:vertAlign w:val="superscript"/>
              </w:rPr>
              <w:t>1-3</w:t>
            </w:r>
            <w:r w:rsidR="00B82309" w:rsidRPr="00125EAC">
              <w:rPr>
                <w:rFonts w:ascii="Verdana" w:hAnsi="Verdana"/>
                <w:sz w:val="20"/>
                <w:szCs w:val="20"/>
              </w:rPr>
              <w:t>.</w:t>
            </w:r>
          </w:p>
          <w:p w:rsidR="00B82309" w:rsidRPr="00F240FC" w:rsidRDefault="00B82309" w:rsidP="00B82309">
            <w:pPr>
              <w:autoSpaceDE w:val="0"/>
              <w:autoSpaceDN w:val="0"/>
              <w:adjustRightInd w:val="0"/>
              <w:rPr>
                <w:rFonts w:ascii="Verdana" w:hAnsi="Verdana"/>
                <w:sz w:val="20"/>
                <w:szCs w:val="20"/>
              </w:rPr>
            </w:pPr>
          </w:p>
        </w:tc>
      </w:tr>
      <w:tr w:rsidR="00C5354B" w:rsidTr="00F62798">
        <w:tc>
          <w:tcPr>
            <w:tcW w:w="2010" w:type="dxa"/>
          </w:tcPr>
          <w:p w:rsidR="007E4CBB" w:rsidRPr="00F240FC" w:rsidRDefault="007E4CBB">
            <w:pPr>
              <w:rPr>
                <w:rFonts w:ascii="Verdana" w:hAnsi="Verdana"/>
                <w:sz w:val="20"/>
                <w:szCs w:val="20"/>
              </w:rPr>
            </w:pPr>
            <w:r w:rsidRPr="00F240FC">
              <w:rPr>
                <w:rFonts w:ascii="Verdana" w:hAnsi="Verdana"/>
                <w:sz w:val="20"/>
                <w:szCs w:val="20"/>
              </w:rPr>
              <w:lastRenderedPageBreak/>
              <w:t>Dosering:</w:t>
            </w:r>
          </w:p>
        </w:tc>
        <w:tc>
          <w:tcPr>
            <w:tcW w:w="7490" w:type="dxa"/>
          </w:tcPr>
          <w:p w:rsidR="0014131B" w:rsidRDefault="0014131B" w:rsidP="00C2574C">
            <w:pPr>
              <w:rPr>
                <w:rFonts w:ascii="Verdana" w:hAnsi="Verdana"/>
                <w:sz w:val="20"/>
                <w:szCs w:val="20"/>
              </w:rPr>
            </w:pPr>
          </w:p>
          <w:p w:rsidR="006E704E" w:rsidRPr="00C2574C" w:rsidRDefault="00C2574C" w:rsidP="00C2574C">
            <w:pPr>
              <w:rPr>
                <w:rFonts w:ascii="Verdana" w:hAnsi="Verdana"/>
                <w:sz w:val="20"/>
                <w:szCs w:val="20"/>
              </w:rPr>
            </w:pPr>
            <w:r>
              <w:rPr>
                <w:rFonts w:ascii="Verdana" w:hAnsi="Verdana"/>
                <w:sz w:val="20"/>
                <w:szCs w:val="20"/>
              </w:rPr>
              <w:t>De aanbevolen dosis is Darzalex</w:t>
            </w:r>
            <w:r w:rsidRPr="00C2574C">
              <w:rPr>
                <w:rFonts w:ascii="Verdana" w:hAnsi="Verdana"/>
                <w:sz w:val="20"/>
                <w:szCs w:val="20"/>
              </w:rPr>
              <w:t xml:space="preserve"> 16 mg/kg lichaamsgewicht toegediend als intraveneuze infusie volgens het volgende behandelschema: </w:t>
            </w:r>
          </w:p>
          <w:p w:rsidR="00C2574C" w:rsidRDefault="00C2574C" w:rsidP="00C2574C">
            <w:pPr>
              <w:rPr>
                <w:rFonts w:ascii="Verdana" w:hAnsi="Verdana"/>
                <w:sz w:val="20"/>
                <w:szCs w:val="20"/>
              </w:rPr>
            </w:pPr>
          </w:p>
          <w:p w:rsidR="00C2574C" w:rsidRPr="00C2574C" w:rsidRDefault="00C2574C" w:rsidP="00C2574C">
            <w:pPr>
              <w:pStyle w:val="Default"/>
              <w:jc w:val="center"/>
              <w:rPr>
                <w:rFonts w:ascii="Verdana" w:hAnsi="Verdana"/>
                <w:b/>
                <w:sz w:val="20"/>
                <w:szCs w:val="20"/>
              </w:rPr>
            </w:pPr>
            <w:proofErr w:type="spellStart"/>
            <w:r w:rsidRPr="00C2574C">
              <w:rPr>
                <w:rFonts w:ascii="Verdana" w:hAnsi="Verdana"/>
                <w:b/>
                <w:sz w:val="20"/>
                <w:szCs w:val="20"/>
              </w:rPr>
              <w:t>Behandelschema</w:t>
            </w:r>
            <w:proofErr w:type="spellEnd"/>
            <w:r w:rsidRPr="00C2574C">
              <w:rPr>
                <w:rFonts w:ascii="Verdana" w:hAnsi="Verdana"/>
                <w:b/>
                <w:sz w:val="20"/>
                <w:szCs w:val="20"/>
              </w:rPr>
              <w:t xml:space="preserve"> </w:t>
            </w:r>
            <w:proofErr w:type="spellStart"/>
            <w:r w:rsidRPr="00C2574C">
              <w:rPr>
                <w:rFonts w:ascii="Verdana" w:hAnsi="Verdana"/>
                <w:b/>
                <w:sz w:val="20"/>
                <w:szCs w:val="20"/>
              </w:rPr>
              <w:t>voor</w:t>
            </w:r>
            <w:proofErr w:type="spellEnd"/>
            <w:r w:rsidRPr="00C2574C">
              <w:rPr>
                <w:rFonts w:ascii="Verdana" w:hAnsi="Verdana"/>
                <w:b/>
                <w:sz w:val="20"/>
                <w:szCs w:val="20"/>
              </w:rPr>
              <w:t xml:space="preserve"> </w:t>
            </w:r>
            <w:proofErr w:type="spellStart"/>
            <w:r w:rsidRPr="00C2574C">
              <w:rPr>
                <w:rFonts w:ascii="Verdana" w:hAnsi="Verdana"/>
                <w:b/>
                <w:sz w:val="20"/>
                <w:szCs w:val="20"/>
              </w:rPr>
              <w:t>Darzalex</w:t>
            </w:r>
            <w:proofErr w:type="spellEnd"/>
          </w:p>
          <w:p w:rsidR="00C2574C" w:rsidRDefault="00C2574C" w:rsidP="00C2574C">
            <w:pPr>
              <w:rPr>
                <w:rFonts w:ascii="Verdana" w:hAnsi="Verdana"/>
                <w:sz w:val="20"/>
                <w:szCs w:val="20"/>
              </w:rPr>
            </w:pPr>
            <w:r>
              <w:rPr>
                <w:noProof/>
                <w:lang w:val="en-US" w:eastAsia="zh-TW"/>
              </w:rPr>
              <w:drawing>
                <wp:inline distT="0" distB="0" distL="0" distR="0" wp14:anchorId="5DE0DC27" wp14:editId="166AAE6C">
                  <wp:extent cx="4619164"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49331" cy="722236"/>
                          </a:xfrm>
                          <a:prstGeom prst="rect">
                            <a:avLst/>
                          </a:prstGeom>
                        </pic:spPr>
                      </pic:pic>
                    </a:graphicData>
                  </a:graphic>
                </wp:inline>
              </w:drawing>
            </w:r>
          </w:p>
          <w:p w:rsidR="00472CD0" w:rsidRPr="00F240FC" w:rsidRDefault="00472CD0" w:rsidP="00C2574C">
            <w:pPr>
              <w:rPr>
                <w:rFonts w:ascii="Verdana" w:hAnsi="Verdana"/>
                <w:sz w:val="20"/>
                <w:szCs w:val="20"/>
              </w:rPr>
            </w:pPr>
          </w:p>
        </w:tc>
      </w:tr>
      <w:tr w:rsidR="00DD0844" w:rsidTr="00F62798">
        <w:tc>
          <w:tcPr>
            <w:tcW w:w="2010" w:type="dxa"/>
          </w:tcPr>
          <w:p w:rsidR="00DD0844" w:rsidRPr="00F240FC" w:rsidRDefault="00DD0844" w:rsidP="00DD0844">
            <w:pPr>
              <w:rPr>
                <w:rFonts w:ascii="Verdana" w:hAnsi="Verdana"/>
                <w:sz w:val="20"/>
                <w:szCs w:val="20"/>
              </w:rPr>
            </w:pPr>
            <w:r>
              <w:rPr>
                <w:rFonts w:ascii="Verdana" w:hAnsi="Verdana"/>
                <w:sz w:val="20"/>
                <w:szCs w:val="20"/>
              </w:rPr>
              <w:t>Kosten:</w:t>
            </w:r>
            <w:r w:rsidRPr="00F240FC">
              <w:rPr>
                <w:rFonts w:ascii="Verdana" w:hAnsi="Verdana"/>
                <w:sz w:val="20"/>
                <w:szCs w:val="20"/>
              </w:rPr>
              <w:t xml:space="preserve"> </w:t>
            </w:r>
          </w:p>
        </w:tc>
        <w:tc>
          <w:tcPr>
            <w:tcW w:w="7490" w:type="dxa"/>
          </w:tcPr>
          <w:p w:rsidR="00DD0844" w:rsidRDefault="00DD0844" w:rsidP="00DD0844">
            <w:pPr>
              <w:pStyle w:val="Default"/>
              <w:rPr>
                <w:lang w:val="nl-NL"/>
              </w:rPr>
            </w:pPr>
          </w:p>
          <w:p w:rsidR="00DD0844" w:rsidRDefault="00DD0844" w:rsidP="00DD0844">
            <w:pPr>
              <w:pStyle w:val="Default"/>
              <w:rPr>
                <w:lang w:val="nl-NL"/>
              </w:rPr>
            </w:pPr>
            <w:r>
              <w:rPr>
                <w:rFonts w:ascii="Verdana" w:hAnsi="Verdana"/>
                <w:sz w:val="20"/>
                <w:szCs w:val="20"/>
                <w:lang w:val="nl-NL"/>
              </w:rPr>
              <w:t>Apotheekinkoopprijs (AIP) per injectieflacon van 5 ml met 100 mg daratumumab (20 mg daratumumab per ml) = € 456,-</w:t>
            </w:r>
          </w:p>
          <w:p w:rsidR="00DD0844" w:rsidRDefault="00DD0844" w:rsidP="00DD0844">
            <w:r>
              <w:rPr>
                <w:rFonts w:ascii="Verdana" w:hAnsi="Verdana"/>
                <w:sz w:val="20"/>
                <w:szCs w:val="20"/>
              </w:rPr>
              <w:t> </w:t>
            </w:r>
          </w:p>
          <w:p w:rsidR="00DD0844" w:rsidRDefault="00DD0844" w:rsidP="00DD0844">
            <w:pPr>
              <w:pStyle w:val="Default"/>
              <w:rPr>
                <w:lang w:val="nl-NL"/>
              </w:rPr>
            </w:pPr>
            <w:r>
              <w:rPr>
                <w:rFonts w:ascii="Verdana" w:hAnsi="Verdana"/>
                <w:sz w:val="20"/>
                <w:szCs w:val="20"/>
                <w:lang w:val="nl-NL"/>
              </w:rPr>
              <w:t>Apotheekinkoopprijs (AIP) per injectieflacon van 20 ml met 400 mg daratumumab (20 mg daratumumab per ml) = € 1824,-</w:t>
            </w:r>
          </w:p>
          <w:p w:rsidR="00DD0844" w:rsidRDefault="00DD0844" w:rsidP="00DD0844">
            <w:r>
              <w:rPr>
                <w:rFonts w:ascii="Verdana" w:hAnsi="Verdana"/>
                <w:sz w:val="20"/>
                <w:szCs w:val="20"/>
              </w:rPr>
              <w:t> </w:t>
            </w:r>
          </w:p>
          <w:p w:rsidR="00DD0844" w:rsidRDefault="00DD0844" w:rsidP="00DD0844">
            <w:r>
              <w:rPr>
                <w:rFonts w:ascii="Verdana" w:hAnsi="Verdana"/>
                <w:sz w:val="20"/>
                <w:szCs w:val="20"/>
              </w:rPr>
              <w:t xml:space="preserve">De behandeling dient te worden voortgezet tot de ziekte progressief wordt of tot de behandeling niet langer door de patiënt wordt verdragen. </w:t>
            </w:r>
          </w:p>
          <w:p w:rsidR="00DD0844" w:rsidRDefault="00DD0844" w:rsidP="00DD0844">
            <w:r>
              <w:rPr>
                <w:rFonts w:ascii="Verdana" w:hAnsi="Verdana"/>
                <w:sz w:val="20"/>
                <w:szCs w:val="20"/>
              </w:rPr>
              <w:t> </w:t>
            </w:r>
          </w:p>
          <w:p w:rsidR="00DD0844" w:rsidRDefault="00DD0844" w:rsidP="00DD0844">
            <w:r>
              <w:rPr>
                <w:rFonts w:ascii="Verdana" w:hAnsi="Verdana"/>
                <w:b/>
                <w:bCs/>
                <w:sz w:val="20"/>
                <w:szCs w:val="20"/>
              </w:rPr>
              <w:t>Kosten per patiënt per jaar</w:t>
            </w:r>
          </w:p>
          <w:p w:rsidR="00DD0844" w:rsidRDefault="00DD0844" w:rsidP="00DD0844">
            <w:r>
              <w:rPr>
                <w:rFonts w:ascii="Verdana" w:hAnsi="Verdana"/>
                <w:sz w:val="20"/>
                <w:szCs w:val="20"/>
              </w:rPr>
              <w:t xml:space="preserve">Bij patiënten bij wie de ziekte niet progressief en de therapie verdragen wordt kan de behandeling worden voortgezet. Een gemiddelde patient </w:t>
            </w:r>
            <w:r>
              <w:rPr>
                <w:rFonts w:ascii="Verdana" w:hAnsi="Verdana"/>
                <w:sz w:val="20"/>
                <w:szCs w:val="20"/>
              </w:rPr>
              <w:lastRenderedPageBreak/>
              <w:t xml:space="preserve">van 75kg gebruikt per infusie 1200 mg daratumumab </w:t>
            </w:r>
            <w:r>
              <w:rPr>
                <w:rFonts w:ascii="MS Reference Sans Serif" w:hAnsi="MS Reference Sans Serif"/>
                <w:sz w:val="20"/>
                <w:szCs w:val="20"/>
              </w:rPr>
              <w:t xml:space="preserve">≙ </w:t>
            </w:r>
            <w:r>
              <w:rPr>
                <w:rFonts w:ascii="Verdana" w:hAnsi="Verdana"/>
                <w:sz w:val="20"/>
                <w:szCs w:val="20"/>
              </w:rPr>
              <w:t>3 injectieflacons met 400mg daratumumab.</w:t>
            </w:r>
          </w:p>
          <w:p w:rsidR="00DD0844" w:rsidRDefault="00DD0844" w:rsidP="00DD0844">
            <w:pPr>
              <w:rPr>
                <w:rFonts w:ascii="Verdana" w:hAnsi="Verdana"/>
                <w:sz w:val="20"/>
                <w:szCs w:val="20"/>
                <w:u w:val="single"/>
              </w:rPr>
            </w:pPr>
          </w:p>
          <w:p w:rsidR="00DD0844" w:rsidRDefault="00DD0844" w:rsidP="00DD0844">
            <w:r>
              <w:rPr>
                <w:rFonts w:ascii="Verdana" w:hAnsi="Verdana"/>
                <w:sz w:val="20"/>
                <w:szCs w:val="20"/>
                <w:u w:val="single"/>
              </w:rPr>
              <w:t>Kosten 1</w:t>
            </w:r>
            <w:r>
              <w:rPr>
                <w:rFonts w:ascii="Verdana" w:hAnsi="Verdana"/>
                <w:sz w:val="20"/>
                <w:szCs w:val="20"/>
                <w:u w:val="single"/>
                <w:vertAlign w:val="superscript"/>
              </w:rPr>
              <w:t>e</w:t>
            </w:r>
            <w:r>
              <w:rPr>
                <w:rFonts w:ascii="Verdana" w:hAnsi="Verdana"/>
                <w:sz w:val="20"/>
                <w:szCs w:val="20"/>
                <w:u w:val="single"/>
              </w:rPr>
              <w:t xml:space="preserve"> jaar: </w:t>
            </w:r>
          </w:p>
          <w:p w:rsidR="00DD0844" w:rsidRDefault="00DD0844" w:rsidP="00DD0844">
            <w:r>
              <w:rPr>
                <w:rFonts w:ascii="Verdana" w:hAnsi="Verdana"/>
                <w:sz w:val="20"/>
                <w:szCs w:val="20"/>
              </w:rPr>
              <w:t>Infusies in het eerste jaar = 8xQW + 8xQ2W + 7xQ4W = 2</w:t>
            </w:r>
            <w:r>
              <w:rPr>
                <w:rFonts w:ascii="Verdana" w:hAnsi="Verdana"/>
                <w:color w:val="000000"/>
                <w:sz w:val="20"/>
                <w:szCs w:val="20"/>
              </w:rPr>
              <w:t>3</w:t>
            </w:r>
            <w:r>
              <w:rPr>
                <w:rFonts w:ascii="Verdana" w:hAnsi="Verdana"/>
                <w:sz w:val="20"/>
                <w:szCs w:val="20"/>
              </w:rPr>
              <w:t xml:space="preserve"> infusies á </w:t>
            </w:r>
            <w:r>
              <w:rPr>
                <w:rFonts w:ascii="Verdana" w:hAnsi="Verdana"/>
                <w:color w:val="000000"/>
                <w:sz w:val="20"/>
                <w:szCs w:val="20"/>
              </w:rPr>
              <w:t>€5.472,-</w:t>
            </w:r>
            <w:r>
              <w:rPr>
                <w:rFonts w:ascii="Verdana" w:hAnsi="Verdana"/>
                <w:sz w:val="20"/>
                <w:szCs w:val="20"/>
              </w:rPr>
              <w:t xml:space="preserve"> = </w:t>
            </w:r>
            <w:r>
              <w:rPr>
                <w:rFonts w:ascii="Verdana" w:hAnsi="Verdana"/>
                <w:color w:val="000000"/>
                <w:sz w:val="20"/>
                <w:szCs w:val="20"/>
              </w:rPr>
              <w:t>€125.856,-</w:t>
            </w:r>
          </w:p>
          <w:p w:rsidR="00DD0844" w:rsidRDefault="00DD0844" w:rsidP="00DD0844">
            <w:r>
              <w:rPr>
                <w:rFonts w:ascii="Verdana" w:hAnsi="Verdana"/>
                <w:sz w:val="20"/>
                <w:szCs w:val="20"/>
                <w:u w:val="single"/>
              </w:rPr>
              <w:t>Kosten 2</w:t>
            </w:r>
            <w:r>
              <w:rPr>
                <w:rFonts w:ascii="Verdana" w:hAnsi="Verdana"/>
                <w:sz w:val="20"/>
                <w:szCs w:val="20"/>
                <w:u w:val="single"/>
                <w:vertAlign w:val="superscript"/>
              </w:rPr>
              <w:t>e</w:t>
            </w:r>
            <w:r>
              <w:rPr>
                <w:rFonts w:ascii="Verdana" w:hAnsi="Verdana"/>
                <w:sz w:val="20"/>
                <w:szCs w:val="20"/>
                <w:u w:val="single"/>
              </w:rPr>
              <w:t xml:space="preserve"> en latere jaren:</w:t>
            </w:r>
          </w:p>
          <w:p w:rsidR="00DD0844" w:rsidRDefault="00DD0844" w:rsidP="00DD0844">
            <w:pPr>
              <w:rPr>
                <w:rFonts w:ascii="Verdana" w:hAnsi="Verdana"/>
                <w:color w:val="000000"/>
                <w:sz w:val="20"/>
                <w:szCs w:val="20"/>
              </w:rPr>
            </w:pPr>
            <w:r>
              <w:rPr>
                <w:rFonts w:ascii="Verdana" w:hAnsi="Verdana"/>
                <w:sz w:val="20"/>
                <w:szCs w:val="20"/>
              </w:rPr>
              <w:t>Infusies in 2</w:t>
            </w:r>
            <w:r>
              <w:rPr>
                <w:rFonts w:ascii="Verdana" w:hAnsi="Verdana"/>
                <w:sz w:val="20"/>
                <w:szCs w:val="20"/>
                <w:vertAlign w:val="superscript"/>
              </w:rPr>
              <w:t>e</w:t>
            </w:r>
            <w:r>
              <w:rPr>
                <w:rFonts w:ascii="Verdana" w:hAnsi="Verdana"/>
                <w:sz w:val="20"/>
                <w:szCs w:val="20"/>
              </w:rPr>
              <w:t xml:space="preserve"> en latere jaren = 1</w:t>
            </w:r>
            <w:r>
              <w:rPr>
                <w:rFonts w:ascii="Verdana" w:hAnsi="Verdana"/>
                <w:color w:val="000000"/>
                <w:sz w:val="20"/>
                <w:szCs w:val="20"/>
              </w:rPr>
              <w:t>3</w:t>
            </w:r>
            <w:r>
              <w:rPr>
                <w:rFonts w:ascii="Verdana" w:hAnsi="Verdana"/>
                <w:sz w:val="20"/>
                <w:szCs w:val="20"/>
              </w:rPr>
              <w:t>xQ4W = 1</w:t>
            </w:r>
            <w:r>
              <w:rPr>
                <w:rFonts w:ascii="Verdana" w:hAnsi="Verdana"/>
                <w:color w:val="000000"/>
                <w:sz w:val="20"/>
                <w:szCs w:val="20"/>
              </w:rPr>
              <w:t>3</w:t>
            </w:r>
            <w:r>
              <w:rPr>
                <w:rFonts w:ascii="Verdana" w:hAnsi="Verdana"/>
                <w:sz w:val="20"/>
                <w:szCs w:val="20"/>
              </w:rPr>
              <w:t xml:space="preserve"> infusies á </w:t>
            </w:r>
            <w:r>
              <w:rPr>
                <w:rFonts w:ascii="Verdana" w:hAnsi="Verdana"/>
                <w:color w:val="000000"/>
                <w:sz w:val="20"/>
                <w:szCs w:val="20"/>
              </w:rPr>
              <w:t>€5.472,-</w:t>
            </w:r>
            <w:r>
              <w:rPr>
                <w:rFonts w:ascii="Verdana" w:hAnsi="Verdana"/>
                <w:sz w:val="20"/>
                <w:szCs w:val="20"/>
              </w:rPr>
              <w:t xml:space="preserve"> = </w:t>
            </w:r>
          </w:p>
          <w:p w:rsidR="00DD0844" w:rsidRDefault="00DD0844" w:rsidP="00DD0844">
            <w:pPr>
              <w:rPr>
                <w:rFonts w:ascii="Calibri" w:hAnsi="Calibri"/>
                <w:sz w:val="22"/>
                <w:szCs w:val="22"/>
              </w:rPr>
            </w:pPr>
            <w:r>
              <w:rPr>
                <w:rFonts w:ascii="Verdana" w:hAnsi="Verdana"/>
                <w:color w:val="000000"/>
                <w:sz w:val="20"/>
                <w:szCs w:val="20"/>
              </w:rPr>
              <w:t>€ 71.136,-</w:t>
            </w:r>
          </w:p>
          <w:p w:rsidR="00DD0844" w:rsidRPr="00F240FC" w:rsidRDefault="00DD0844" w:rsidP="00DD0844">
            <w:pPr>
              <w:rPr>
                <w:rFonts w:ascii="Verdana" w:hAnsi="Verdana"/>
                <w:sz w:val="20"/>
                <w:szCs w:val="20"/>
              </w:rPr>
            </w:pPr>
            <w:r>
              <w:rPr>
                <w:rFonts w:ascii="Verdana" w:hAnsi="Verdana"/>
                <w:sz w:val="20"/>
                <w:szCs w:val="20"/>
              </w:rPr>
              <w:t> </w:t>
            </w:r>
          </w:p>
        </w:tc>
      </w:tr>
      <w:tr w:rsidR="00DD0844" w:rsidTr="00F62798">
        <w:tc>
          <w:tcPr>
            <w:tcW w:w="2010" w:type="dxa"/>
          </w:tcPr>
          <w:p w:rsidR="00DD0844" w:rsidRPr="00F240FC" w:rsidRDefault="00DD0844" w:rsidP="00DD0844">
            <w:pPr>
              <w:rPr>
                <w:rFonts w:ascii="Verdana" w:hAnsi="Verdana"/>
                <w:sz w:val="20"/>
                <w:szCs w:val="20"/>
              </w:rPr>
            </w:pPr>
            <w:r w:rsidRPr="00F240FC">
              <w:rPr>
                <w:rFonts w:ascii="Verdana" w:hAnsi="Verdana"/>
                <w:sz w:val="20"/>
                <w:szCs w:val="20"/>
              </w:rPr>
              <w:lastRenderedPageBreak/>
              <w:t>Geschat aantal patiënten per jaar:</w:t>
            </w:r>
          </w:p>
        </w:tc>
        <w:tc>
          <w:tcPr>
            <w:tcW w:w="7490" w:type="dxa"/>
          </w:tcPr>
          <w:p w:rsidR="00DD0844" w:rsidRDefault="00DD0844" w:rsidP="00DD0844">
            <w:pPr>
              <w:pStyle w:val="Default"/>
              <w:rPr>
                <w:lang w:val="nl-NL"/>
              </w:rPr>
            </w:pPr>
          </w:p>
          <w:p w:rsidR="00DD0844" w:rsidRDefault="00DD0844" w:rsidP="00DD0844">
            <w:pPr>
              <w:rPr>
                <w:rFonts w:ascii="Verdana" w:hAnsi="Verdana"/>
                <w:sz w:val="20"/>
                <w:szCs w:val="20"/>
              </w:rPr>
            </w:pPr>
            <w:r>
              <w:rPr>
                <w:rFonts w:ascii="Verdana" w:hAnsi="Verdana"/>
                <w:sz w:val="20"/>
                <w:szCs w:val="20"/>
              </w:rPr>
              <w:t> </w:t>
            </w:r>
          </w:p>
          <w:p w:rsidR="00DD0844" w:rsidRDefault="00DD0844" w:rsidP="00DD0844">
            <w:pPr>
              <w:rPr>
                <w:rFonts w:ascii="Verdana" w:hAnsi="Verdana"/>
                <w:sz w:val="20"/>
                <w:szCs w:val="20"/>
              </w:rPr>
            </w:pPr>
          </w:p>
          <w:p w:rsidR="00DD0844" w:rsidRPr="00F240FC" w:rsidRDefault="00DD0844" w:rsidP="00DD0844">
            <w:pPr>
              <w:rPr>
                <w:rFonts w:ascii="Verdana" w:hAnsi="Verdana"/>
                <w:sz w:val="20"/>
                <w:szCs w:val="20"/>
              </w:rPr>
            </w:pPr>
          </w:p>
        </w:tc>
      </w:tr>
      <w:tr w:rsidR="00DD0844" w:rsidTr="00F62798">
        <w:tc>
          <w:tcPr>
            <w:tcW w:w="2010" w:type="dxa"/>
          </w:tcPr>
          <w:p w:rsidR="00DD0844" w:rsidRPr="00F240FC" w:rsidRDefault="00DD0844" w:rsidP="00DD0844">
            <w:pPr>
              <w:rPr>
                <w:rFonts w:ascii="Verdana" w:hAnsi="Verdana"/>
                <w:sz w:val="20"/>
                <w:szCs w:val="20"/>
              </w:rPr>
            </w:pPr>
            <w:r w:rsidRPr="00F240FC">
              <w:rPr>
                <w:rFonts w:ascii="Verdana" w:hAnsi="Verdana"/>
                <w:sz w:val="20"/>
                <w:szCs w:val="20"/>
              </w:rPr>
              <w:br w:type="page"/>
              <w:t>Motivering waarom dit middel toegelaten zou moeten worden:</w:t>
            </w:r>
          </w:p>
        </w:tc>
        <w:tc>
          <w:tcPr>
            <w:tcW w:w="7490" w:type="dxa"/>
          </w:tcPr>
          <w:p w:rsidR="00DD0844" w:rsidRDefault="00DD0844" w:rsidP="00DD0844">
            <w:pPr>
              <w:pStyle w:val="Default"/>
              <w:rPr>
                <w:rFonts w:ascii="Verdana" w:hAnsi="Verdana"/>
                <w:sz w:val="20"/>
                <w:szCs w:val="20"/>
                <w:lang w:val="nl-NL"/>
              </w:rPr>
            </w:pPr>
          </w:p>
          <w:p w:rsidR="00DD0844" w:rsidRPr="00DD7DFE" w:rsidRDefault="00DD0844" w:rsidP="00DD0844">
            <w:pPr>
              <w:pStyle w:val="Default"/>
              <w:rPr>
                <w:rFonts w:ascii="Verdana" w:hAnsi="Verdana"/>
                <w:sz w:val="20"/>
                <w:szCs w:val="20"/>
                <w:lang w:val="nl-NL"/>
              </w:rPr>
            </w:pPr>
            <w:r w:rsidRPr="003967ED">
              <w:rPr>
                <w:rFonts w:ascii="Verdana" w:hAnsi="Verdana"/>
                <w:sz w:val="20"/>
                <w:szCs w:val="20"/>
                <w:lang w:val="nl-NL"/>
              </w:rPr>
              <w:t xml:space="preserve">Darzalex heeft een </w:t>
            </w:r>
            <w:r w:rsidRPr="003967ED">
              <w:rPr>
                <w:rFonts w:ascii="Verdana" w:hAnsi="Verdana"/>
                <w:b/>
                <w:sz w:val="20"/>
                <w:szCs w:val="20"/>
                <w:lang w:val="nl-NL"/>
              </w:rPr>
              <w:t>hoge</w:t>
            </w:r>
            <w:r w:rsidRPr="003967ED">
              <w:rPr>
                <w:rFonts w:ascii="Verdana" w:hAnsi="Verdana"/>
                <w:sz w:val="20"/>
                <w:szCs w:val="20"/>
                <w:lang w:val="nl-NL"/>
              </w:rPr>
              <w:t xml:space="preserve"> </w:t>
            </w:r>
            <w:r w:rsidRPr="003967ED">
              <w:rPr>
                <w:rFonts w:ascii="Verdana" w:hAnsi="Verdana"/>
                <w:b/>
                <w:sz w:val="20"/>
                <w:szCs w:val="20"/>
                <w:lang w:val="nl-NL"/>
              </w:rPr>
              <w:t>effectiviteit</w:t>
            </w:r>
            <w:r w:rsidRPr="003967ED">
              <w:rPr>
                <w:rFonts w:ascii="Verdana" w:hAnsi="Verdana"/>
                <w:sz w:val="20"/>
                <w:szCs w:val="20"/>
                <w:lang w:val="nl-NL"/>
              </w:rPr>
              <w:t xml:space="preserve"> en een gunstig </w:t>
            </w:r>
            <w:r>
              <w:rPr>
                <w:rFonts w:ascii="Verdana" w:hAnsi="Verdana"/>
                <w:b/>
                <w:sz w:val="20"/>
                <w:szCs w:val="20"/>
                <w:lang w:val="nl-NL"/>
              </w:rPr>
              <w:t xml:space="preserve">veiligheidsprofiel. </w:t>
            </w:r>
            <w:r w:rsidRPr="00DD7DFE">
              <w:rPr>
                <w:rFonts w:ascii="Verdana" w:hAnsi="Verdana"/>
                <w:sz w:val="20"/>
                <w:szCs w:val="20"/>
                <w:lang w:val="nl-NL"/>
              </w:rPr>
              <w:t xml:space="preserve">Daarnaast heeft het een </w:t>
            </w:r>
            <w:r w:rsidRPr="00DD7DFE">
              <w:rPr>
                <w:rFonts w:ascii="Verdana" w:hAnsi="Verdana"/>
                <w:b/>
                <w:sz w:val="20"/>
                <w:szCs w:val="20"/>
                <w:lang w:val="nl-NL"/>
              </w:rPr>
              <w:t>uniek werkingsmechanisme</w:t>
            </w:r>
            <w:r w:rsidRPr="00DD7DFE">
              <w:rPr>
                <w:rFonts w:ascii="Verdana" w:hAnsi="Verdana"/>
                <w:sz w:val="20"/>
                <w:szCs w:val="20"/>
                <w:lang w:val="nl-NL"/>
              </w:rPr>
              <w:t xml:space="preserve">: het is het enige monoklonale </w:t>
            </w:r>
            <w:r>
              <w:rPr>
                <w:rFonts w:ascii="Verdana" w:hAnsi="Verdana"/>
                <w:sz w:val="20"/>
                <w:szCs w:val="20"/>
                <w:lang w:val="nl-NL"/>
              </w:rPr>
              <w:t>antilichaam tegen CD38-antigeen</w:t>
            </w:r>
            <w:r w:rsidRPr="00DD7DFE">
              <w:rPr>
                <w:rFonts w:ascii="Verdana" w:hAnsi="Verdana"/>
                <w:sz w:val="20"/>
                <w:szCs w:val="20"/>
                <w:lang w:val="nl-NL"/>
              </w:rPr>
              <w:t xml:space="preserve"> momenteel beschikbaar</w:t>
            </w:r>
            <w:r>
              <w:rPr>
                <w:rFonts w:ascii="Verdana" w:hAnsi="Verdana"/>
                <w:sz w:val="20"/>
                <w:szCs w:val="20"/>
                <w:lang w:val="nl-NL"/>
              </w:rPr>
              <w:t>.</w:t>
            </w:r>
          </w:p>
          <w:p w:rsidR="00DD0844" w:rsidRPr="00F240FC" w:rsidRDefault="00DD0844" w:rsidP="00DD0844">
            <w:pPr>
              <w:rPr>
                <w:rFonts w:ascii="Verdana" w:hAnsi="Verdana"/>
                <w:sz w:val="20"/>
                <w:szCs w:val="20"/>
              </w:rPr>
            </w:pPr>
          </w:p>
        </w:tc>
      </w:tr>
    </w:tbl>
    <w:p w:rsidR="00B879BF" w:rsidRPr="00B879BF" w:rsidRDefault="00B879BF">
      <w:pPr>
        <w:rPr>
          <w:i/>
          <w:iCs/>
          <w:sz w:val="16"/>
          <w:szCs w:val="16"/>
          <w:lang w:val="nl-BE"/>
        </w:rPr>
      </w:pPr>
    </w:p>
    <w:p w:rsidR="00A60834" w:rsidRPr="002501AE" w:rsidRDefault="00A60834">
      <w:pPr>
        <w:rPr>
          <w:rFonts w:ascii="Verdana" w:hAnsi="Verdana"/>
          <w:b/>
          <w:sz w:val="16"/>
          <w:szCs w:val="16"/>
        </w:rPr>
      </w:pPr>
    </w:p>
    <w:p w:rsidR="00270B2C" w:rsidRPr="00F6195D" w:rsidRDefault="00270B2C">
      <w:pPr>
        <w:rPr>
          <w:rFonts w:ascii="Verdana" w:hAnsi="Verdana"/>
          <w:b/>
          <w:sz w:val="16"/>
          <w:szCs w:val="16"/>
          <w:lang w:val="en-US"/>
        </w:rPr>
      </w:pPr>
      <w:proofErr w:type="spellStart"/>
      <w:r w:rsidRPr="00F6195D">
        <w:rPr>
          <w:rFonts w:ascii="Verdana" w:hAnsi="Verdana"/>
          <w:b/>
          <w:sz w:val="16"/>
          <w:szCs w:val="16"/>
          <w:lang w:val="en-US"/>
        </w:rPr>
        <w:t>Referenties</w:t>
      </w:r>
      <w:proofErr w:type="spellEnd"/>
      <w:r w:rsidRPr="00F6195D">
        <w:rPr>
          <w:rFonts w:ascii="Verdana" w:hAnsi="Verdana"/>
          <w:b/>
          <w:sz w:val="16"/>
          <w:szCs w:val="16"/>
          <w:lang w:val="en-US"/>
        </w:rPr>
        <w:t>:</w:t>
      </w:r>
    </w:p>
    <w:p w:rsidR="00270B2C" w:rsidRPr="00F6195D" w:rsidRDefault="00270B2C">
      <w:pPr>
        <w:rPr>
          <w:rFonts w:ascii="Verdana" w:hAnsi="Verdana"/>
          <w:b/>
          <w:sz w:val="20"/>
          <w:szCs w:val="20"/>
          <w:lang w:val="en-US"/>
        </w:rPr>
      </w:pPr>
    </w:p>
    <w:p w:rsidR="00B813B6" w:rsidRPr="00B813B6" w:rsidRDefault="00B813B6" w:rsidP="00B813B6">
      <w:pPr>
        <w:autoSpaceDE w:val="0"/>
        <w:autoSpaceDN w:val="0"/>
        <w:adjustRightInd w:val="0"/>
        <w:rPr>
          <w:rFonts w:ascii="Verdana" w:eastAsia="Shaker2Lancet-Bold" w:hAnsi="Verdana" w:cs="Shaker2Lancet-Bold"/>
          <w:bCs/>
          <w:sz w:val="16"/>
          <w:szCs w:val="16"/>
          <w:lang w:val="en-US"/>
        </w:rPr>
      </w:pPr>
      <w:r>
        <w:rPr>
          <w:rFonts w:ascii="Verdana" w:hAnsi="Verdana"/>
          <w:sz w:val="16"/>
          <w:szCs w:val="16"/>
          <w:vertAlign w:val="superscript"/>
          <w:lang w:val="en-US"/>
        </w:rPr>
        <w:t xml:space="preserve">1 </w:t>
      </w:r>
      <w:proofErr w:type="spellStart"/>
      <w:r w:rsidRPr="00B813B6">
        <w:rPr>
          <w:rFonts w:ascii="Verdana" w:hAnsi="Verdana"/>
          <w:sz w:val="16"/>
          <w:szCs w:val="16"/>
          <w:lang w:val="en-US"/>
        </w:rPr>
        <w:t>Lonial</w:t>
      </w:r>
      <w:proofErr w:type="spellEnd"/>
      <w:r w:rsidRPr="00B813B6">
        <w:rPr>
          <w:rFonts w:ascii="Verdana" w:hAnsi="Verdana"/>
          <w:sz w:val="16"/>
          <w:szCs w:val="16"/>
          <w:lang w:val="en-US"/>
        </w:rPr>
        <w:t xml:space="preserve"> S, et al. </w:t>
      </w:r>
      <w:r w:rsidRPr="00B813B6">
        <w:rPr>
          <w:rFonts w:ascii="Verdana" w:eastAsia="Shaker2Lancet-Bold" w:hAnsi="Verdana" w:cs="Shaker2Lancet-Bold"/>
          <w:bCs/>
          <w:sz w:val="16"/>
          <w:szCs w:val="16"/>
          <w:lang w:val="en-US"/>
        </w:rPr>
        <w:t>Daratumum</w:t>
      </w:r>
      <w:r>
        <w:rPr>
          <w:rFonts w:ascii="Verdana" w:eastAsia="Shaker2Lancet-Bold" w:hAnsi="Verdana" w:cs="Shaker2Lancet-Bold"/>
          <w:bCs/>
          <w:sz w:val="16"/>
          <w:szCs w:val="16"/>
          <w:lang w:val="en-US"/>
        </w:rPr>
        <w:t xml:space="preserve">ab monotherapy in patients with </w:t>
      </w:r>
      <w:r w:rsidRPr="00B813B6">
        <w:rPr>
          <w:rFonts w:ascii="Verdana" w:eastAsia="Shaker2Lancet-Bold" w:hAnsi="Verdana" w:cs="Shaker2Lancet-Bold"/>
          <w:bCs/>
          <w:sz w:val="16"/>
          <w:szCs w:val="16"/>
          <w:lang w:val="en-US"/>
        </w:rPr>
        <w:t>treatment-refractory multiple myeloma (SIRIUS):</w:t>
      </w:r>
    </w:p>
    <w:p w:rsidR="00B813B6" w:rsidRPr="0086059D" w:rsidRDefault="00B813B6" w:rsidP="00B813B6">
      <w:pPr>
        <w:rPr>
          <w:rFonts w:ascii="Verdana" w:hAnsi="Verdana"/>
          <w:sz w:val="16"/>
          <w:szCs w:val="16"/>
        </w:rPr>
      </w:pPr>
      <w:r w:rsidRPr="00B813B6">
        <w:rPr>
          <w:rFonts w:ascii="Verdana" w:eastAsia="Shaker2Lancet-Bold" w:hAnsi="Verdana" w:cs="Shaker2Lancet-Bold"/>
          <w:bCs/>
          <w:sz w:val="16"/>
          <w:szCs w:val="16"/>
          <w:lang w:val="en-US"/>
        </w:rPr>
        <w:t xml:space="preserve">an open-label, </w:t>
      </w:r>
      <w:proofErr w:type="spellStart"/>
      <w:r w:rsidRPr="00B813B6">
        <w:rPr>
          <w:rFonts w:ascii="Verdana" w:eastAsia="Shaker2Lancet-Bold" w:hAnsi="Verdana" w:cs="Shaker2Lancet-Bold"/>
          <w:bCs/>
          <w:sz w:val="16"/>
          <w:szCs w:val="16"/>
          <w:lang w:val="en-US"/>
        </w:rPr>
        <w:t>randomised</w:t>
      </w:r>
      <w:proofErr w:type="spellEnd"/>
      <w:r w:rsidRPr="00B813B6">
        <w:rPr>
          <w:rFonts w:ascii="Verdana" w:eastAsia="Shaker2Lancet-Bold" w:hAnsi="Verdana" w:cs="Shaker2Lancet-Bold"/>
          <w:bCs/>
          <w:sz w:val="16"/>
          <w:szCs w:val="16"/>
          <w:lang w:val="en-US"/>
        </w:rPr>
        <w:t>, phase 2 trial.</w:t>
      </w:r>
      <w:r w:rsidR="008B0891">
        <w:rPr>
          <w:rFonts w:ascii="Verdana" w:eastAsia="Shaker2Lancet-Bold" w:hAnsi="Verdana" w:cs="Shaker2Lancet-Bold"/>
          <w:bCs/>
          <w:sz w:val="16"/>
          <w:szCs w:val="16"/>
          <w:lang w:val="en-US"/>
        </w:rPr>
        <w:t xml:space="preserve"> </w:t>
      </w:r>
      <w:r w:rsidRPr="0086059D">
        <w:rPr>
          <w:rFonts w:ascii="Verdana" w:hAnsi="Verdana"/>
          <w:sz w:val="16"/>
          <w:szCs w:val="16"/>
        </w:rPr>
        <w:t>Lancet 2016;387(10027):1551-60.</w:t>
      </w:r>
    </w:p>
    <w:p w:rsidR="00B813B6" w:rsidRPr="00B813B6" w:rsidRDefault="00B813B6" w:rsidP="00B813B6">
      <w:pPr>
        <w:autoSpaceDE w:val="0"/>
        <w:autoSpaceDN w:val="0"/>
        <w:adjustRightInd w:val="0"/>
        <w:rPr>
          <w:rFonts w:ascii="Verdana" w:eastAsia="OTNEJMQuadraat" w:hAnsi="Verdana" w:cs="OTNEJMQuadraat"/>
          <w:sz w:val="16"/>
          <w:szCs w:val="16"/>
          <w:lang w:val="en-US"/>
        </w:rPr>
      </w:pPr>
      <w:r w:rsidRPr="0086059D">
        <w:rPr>
          <w:rFonts w:ascii="Verdana" w:hAnsi="Verdana"/>
          <w:sz w:val="16"/>
          <w:szCs w:val="16"/>
          <w:vertAlign w:val="superscript"/>
        </w:rPr>
        <w:t xml:space="preserve">2 </w:t>
      </w:r>
      <w:r w:rsidRPr="0086059D">
        <w:rPr>
          <w:rFonts w:ascii="Verdana" w:hAnsi="Verdana"/>
          <w:sz w:val="16"/>
          <w:szCs w:val="16"/>
        </w:rPr>
        <w:t xml:space="preserve">Lokhorst HM, et al. </w:t>
      </w:r>
      <w:r>
        <w:rPr>
          <w:rFonts w:ascii="Verdana" w:eastAsia="OTNEJMQuadraat" w:hAnsi="Verdana" w:cs="OTNEJMQuadraat"/>
          <w:sz w:val="16"/>
          <w:szCs w:val="16"/>
          <w:lang w:val="en-US"/>
        </w:rPr>
        <w:t xml:space="preserve">Targeting CD38 with Daratumumab </w:t>
      </w:r>
      <w:r w:rsidRPr="00B813B6">
        <w:rPr>
          <w:rFonts w:ascii="Verdana" w:eastAsia="OTNEJMQuadraat" w:hAnsi="Verdana" w:cs="OTNEJMQuadraat"/>
          <w:sz w:val="16"/>
          <w:szCs w:val="16"/>
          <w:lang w:val="en-US"/>
        </w:rPr>
        <w:t xml:space="preserve">Monotherapy in Multiple Myeloma. </w:t>
      </w:r>
      <w:r w:rsidRPr="00B813B6">
        <w:rPr>
          <w:rFonts w:ascii="Verdana" w:hAnsi="Verdana"/>
          <w:iCs/>
          <w:sz w:val="16"/>
          <w:szCs w:val="16"/>
          <w:lang w:val="en-US"/>
        </w:rPr>
        <w:t xml:space="preserve">New </w:t>
      </w:r>
      <w:proofErr w:type="spellStart"/>
      <w:r w:rsidRPr="00B813B6">
        <w:rPr>
          <w:rFonts w:ascii="Verdana" w:hAnsi="Verdana"/>
          <w:iCs/>
          <w:sz w:val="16"/>
          <w:szCs w:val="16"/>
          <w:lang w:val="en-US"/>
        </w:rPr>
        <w:t>Engl</w:t>
      </w:r>
      <w:proofErr w:type="spellEnd"/>
      <w:r w:rsidRPr="00B813B6">
        <w:rPr>
          <w:rFonts w:ascii="Verdana" w:hAnsi="Verdana"/>
          <w:iCs/>
          <w:sz w:val="16"/>
          <w:szCs w:val="16"/>
          <w:lang w:val="en-US"/>
        </w:rPr>
        <w:t xml:space="preserve"> J Med</w:t>
      </w:r>
      <w:r w:rsidRPr="00B813B6">
        <w:rPr>
          <w:rFonts w:ascii="Verdana" w:hAnsi="Verdana"/>
          <w:sz w:val="16"/>
          <w:szCs w:val="16"/>
          <w:lang w:val="en-US"/>
        </w:rPr>
        <w:t>. 2015 373(13):1207-19.</w:t>
      </w:r>
    </w:p>
    <w:p w:rsidR="00B813B6" w:rsidRDefault="00B813B6" w:rsidP="00B813B6">
      <w:pPr>
        <w:autoSpaceDE w:val="0"/>
        <w:autoSpaceDN w:val="0"/>
        <w:adjustRightInd w:val="0"/>
        <w:rPr>
          <w:rFonts w:ascii="Verdana" w:hAnsi="Verdana"/>
          <w:sz w:val="16"/>
          <w:szCs w:val="16"/>
        </w:rPr>
      </w:pPr>
      <w:r w:rsidRPr="00B813B6">
        <w:rPr>
          <w:rFonts w:ascii="Verdana" w:hAnsi="Verdana"/>
          <w:sz w:val="16"/>
          <w:szCs w:val="16"/>
          <w:vertAlign w:val="superscript"/>
          <w:lang w:val="en-US"/>
        </w:rPr>
        <w:t xml:space="preserve">3 </w:t>
      </w:r>
      <w:proofErr w:type="spellStart"/>
      <w:r w:rsidRPr="00B813B6">
        <w:rPr>
          <w:rFonts w:ascii="Verdana" w:hAnsi="Verdana"/>
          <w:sz w:val="16"/>
          <w:szCs w:val="16"/>
          <w:lang w:val="en-US"/>
        </w:rPr>
        <w:t>Usmani</w:t>
      </w:r>
      <w:proofErr w:type="spellEnd"/>
      <w:r w:rsidRPr="00B813B6">
        <w:rPr>
          <w:rFonts w:ascii="Verdana" w:hAnsi="Verdana"/>
          <w:sz w:val="16"/>
          <w:szCs w:val="16"/>
          <w:lang w:val="en-US"/>
        </w:rPr>
        <w:t xml:space="preserve"> S, et al. </w:t>
      </w:r>
      <w:r w:rsidRPr="00B813B6">
        <w:rPr>
          <w:rFonts w:ascii="Verdana" w:hAnsi="Verdana" w:cs="AdvOTd40fda3b.B"/>
          <w:sz w:val="16"/>
          <w:szCs w:val="16"/>
          <w:lang w:val="en-US"/>
        </w:rPr>
        <w:t>Clinical ef</w:t>
      </w:r>
      <w:r w:rsidRPr="00B813B6">
        <w:rPr>
          <w:rFonts w:ascii="Verdana" w:hAnsi="Verdana" w:cs="AdvOTd40fda3b.B+fb"/>
          <w:sz w:val="16"/>
          <w:szCs w:val="16"/>
          <w:lang w:val="en-US"/>
        </w:rPr>
        <w:t>fi</w:t>
      </w:r>
      <w:r w:rsidRPr="00B813B6">
        <w:rPr>
          <w:rFonts w:ascii="Verdana" w:hAnsi="Verdana" w:cs="AdvOTd40fda3b.B"/>
          <w:sz w:val="16"/>
          <w:szCs w:val="16"/>
          <w:lang w:val="en-US"/>
        </w:rPr>
        <w:t>cacy of daratumumab monot</w:t>
      </w:r>
      <w:r>
        <w:rPr>
          <w:rFonts w:ascii="Verdana" w:hAnsi="Verdana" w:cs="AdvOTd40fda3b.B"/>
          <w:sz w:val="16"/>
          <w:szCs w:val="16"/>
          <w:lang w:val="en-US"/>
        </w:rPr>
        <w:t xml:space="preserve">herapy in patients with heavily </w:t>
      </w:r>
      <w:r w:rsidRPr="00B813B6">
        <w:rPr>
          <w:rFonts w:ascii="Verdana" w:hAnsi="Verdana" w:cs="AdvOTd40fda3b.B"/>
          <w:sz w:val="16"/>
          <w:szCs w:val="16"/>
          <w:lang w:val="en-US"/>
        </w:rPr>
        <w:t>pretreated relapsed or refractory multiple myeloma</w:t>
      </w:r>
      <w:r>
        <w:rPr>
          <w:rFonts w:ascii="Verdana" w:hAnsi="Verdana" w:cs="AdvOTd40fda3b.B"/>
          <w:sz w:val="16"/>
          <w:szCs w:val="16"/>
          <w:lang w:val="en-US"/>
        </w:rPr>
        <w:t xml:space="preserve">. </w:t>
      </w:r>
      <w:r w:rsidRPr="002501AE">
        <w:rPr>
          <w:rFonts w:ascii="Verdana" w:hAnsi="Verdana"/>
          <w:sz w:val="16"/>
          <w:szCs w:val="16"/>
        </w:rPr>
        <w:t>Blood. 2016 Jul 7;128(1):37-44.</w:t>
      </w:r>
    </w:p>
    <w:p w:rsidR="00B10FAF" w:rsidRPr="00B10FAF" w:rsidRDefault="00B10FAF" w:rsidP="00B813B6">
      <w:pPr>
        <w:autoSpaceDE w:val="0"/>
        <w:autoSpaceDN w:val="0"/>
        <w:adjustRightInd w:val="0"/>
        <w:rPr>
          <w:rFonts w:ascii="Verdana" w:hAnsi="Verdana"/>
          <w:sz w:val="16"/>
          <w:szCs w:val="16"/>
        </w:rPr>
      </w:pPr>
      <w:r>
        <w:rPr>
          <w:rFonts w:ascii="Verdana" w:hAnsi="Verdana"/>
          <w:sz w:val="16"/>
          <w:szCs w:val="16"/>
          <w:vertAlign w:val="superscript"/>
        </w:rPr>
        <w:t>4</w:t>
      </w:r>
      <w:r w:rsidR="00F419B9">
        <w:rPr>
          <w:rFonts w:ascii="Verdana" w:hAnsi="Verdana"/>
          <w:sz w:val="16"/>
          <w:szCs w:val="16"/>
        </w:rPr>
        <w:t xml:space="preserve"> SmPC Darzalex (daratumumab)</w:t>
      </w:r>
    </w:p>
    <w:p w:rsidR="00F64C63" w:rsidRDefault="00F64C63">
      <w:pPr>
        <w:pBdr>
          <w:bottom w:val="single" w:sz="6" w:space="1" w:color="auto"/>
        </w:pBdr>
      </w:pPr>
    </w:p>
    <w:p w:rsidR="00A60834" w:rsidRDefault="00A60834">
      <w:pPr>
        <w:pBdr>
          <w:bottom w:val="single" w:sz="6" w:space="1" w:color="auto"/>
        </w:pBdr>
      </w:pPr>
    </w:p>
    <w:p w:rsidR="00A60834" w:rsidRPr="00B879BF" w:rsidRDefault="00A60834"/>
    <w:p w:rsidR="002745DB" w:rsidRDefault="002745DB" w:rsidP="00B879BF">
      <w:pPr>
        <w:jc w:val="both"/>
        <w:rPr>
          <w:rFonts w:ascii="Verdana" w:hAnsi="Verdana"/>
          <w:b/>
          <w:sz w:val="20"/>
          <w:szCs w:val="20"/>
        </w:rPr>
      </w:pPr>
    </w:p>
    <w:p w:rsidR="002745DB" w:rsidRDefault="00A60834" w:rsidP="00B879BF">
      <w:pPr>
        <w:jc w:val="both"/>
        <w:rPr>
          <w:rFonts w:ascii="Verdana" w:hAnsi="Verdana"/>
          <w:b/>
          <w:sz w:val="20"/>
          <w:szCs w:val="20"/>
        </w:rPr>
      </w:pPr>
      <w:r>
        <w:rPr>
          <w:rFonts w:ascii="Verdana" w:hAnsi="Verdana"/>
          <w:b/>
          <w:sz w:val="20"/>
          <w:szCs w:val="20"/>
        </w:rPr>
        <w:t xml:space="preserve">Uitgebreide productinformatie is seperaat meegezonden bij dit document </w:t>
      </w:r>
      <w:r>
        <w:rPr>
          <w:rFonts w:ascii="MS Reference Sans Serif" w:hAnsi="MS Reference Sans Serif"/>
          <w:b/>
          <w:sz w:val="20"/>
          <w:szCs w:val="20"/>
        </w:rPr>
        <w:t>é</w:t>
      </w:r>
      <w:r>
        <w:rPr>
          <w:rFonts w:ascii="Verdana" w:hAnsi="Verdana"/>
          <w:b/>
          <w:sz w:val="20"/>
          <w:szCs w:val="20"/>
        </w:rPr>
        <w:t>n is beschikbaar via</w:t>
      </w:r>
      <w:r w:rsidRPr="00B879BF">
        <w:rPr>
          <w:rFonts w:ascii="Verdana" w:hAnsi="Verdana"/>
          <w:b/>
          <w:sz w:val="20"/>
          <w:szCs w:val="20"/>
        </w:rPr>
        <w:t xml:space="preserve"> </w:t>
      </w:r>
      <w:hyperlink r:id="rId12" w:history="1">
        <w:r w:rsidRPr="00B879BF">
          <w:rPr>
            <w:rStyle w:val="Hyperlink"/>
            <w:rFonts w:ascii="Verdana" w:hAnsi="Verdana"/>
            <w:b/>
            <w:sz w:val="20"/>
            <w:szCs w:val="20"/>
          </w:rPr>
          <w:t>www.janssen.com/nederland</w:t>
        </w:r>
      </w:hyperlink>
      <w:r>
        <w:rPr>
          <w:rStyle w:val="Hyperlink"/>
          <w:rFonts w:ascii="Verdana" w:hAnsi="Verdana"/>
          <w:b/>
          <w:sz w:val="20"/>
          <w:szCs w:val="20"/>
        </w:rPr>
        <w:t>.</w:t>
      </w:r>
    </w:p>
    <w:p w:rsidR="002745DB" w:rsidRDefault="002745DB" w:rsidP="00B879BF">
      <w:pPr>
        <w:jc w:val="both"/>
        <w:rPr>
          <w:rFonts w:ascii="Verdana" w:hAnsi="Verdana"/>
          <w:b/>
          <w:sz w:val="20"/>
          <w:szCs w:val="20"/>
        </w:rPr>
      </w:pPr>
    </w:p>
    <w:p w:rsidR="00B879BF" w:rsidRDefault="00A60834" w:rsidP="00B879BF">
      <w:pPr>
        <w:jc w:val="both"/>
        <w:rPr>
          <w:rFonts w:ascii="Verdana" w:hAnsi="Verdana"/>
          <w:b/>
          <w:sz w:val="20"/>
          <w:szCs w:val="20"/>
        </w:rPr>
      </w:pPr>
      <w:r>
        <w:rPr>
          <w:rFonts w:ascii="Verdana" w:hAnsi="Verdana"/>
          <w:b/>
          <w:sz w:val="20"/>
          <w:szCs w:val="20"/>
        </w:rPr>
        <w:t>Hieronder de v</w:t>
      </w:r>
      <w:r w:rsidR="00B879BF" w:rsidRPr="00B879BF">
        <w:rPr>
          <w:rFonts w:ascii="Verdana" w:hAnsi="Verdana"/>
          <w:b/>
          <w:sz w:val="20"/>
          <w:szCs w:val="20"/>
        </w:rPr>
        <w:t>erkorte productinformatie Darzalex (daratumumab) voor gebruik in Nederland</w:t>
      </w:r>
    </w:p>
    <w:p w:rsidR="00A60834" w:rsidRDefault="00A60834" w:rsidP="00B879BF">
      <w:pPr>
        <w:jc w:val="both"/>
        <w:rPr>
          <w:rFonts w:ascii="Verdana" w:hAnsi="Verdana"/>
          <w:b/>
          <w:sz w:val="20"/>
          <w:szCs w:val="20"/>
        </w:rPr>
      </w:pPr>
    </w:p>
    <w:p w:rsidR="00D754F1" w:rsidRPr="00D754F1" w:rsidRDefault="00D754F1" w:rsidP="00D754F1">
      <w:pPr>
        <w:jc w:val="both"/>
        <w:rPr>
          <w:rFonts w:ascii="Verdana" w:hAnsi="Verdana"/>
          <w:sz w:val="20"/>
          <w:szCs w:val="20"/>
        </w:rPr>
      </w:pPr>
      <w:r w:rsidRPr="00D754F1">
        <w:rPr>
          <w:rFonts w:ascii="Arial" w:hAnsi="Arial" w:cs="Arial"/>
          <w:sz w:val="20"/>
          <w:szCs w:val="20"/>
        </w:rPr>
        <w:t>▼</w:t>
      </w:r>
      <w:r w:rsidRPr="00D754F1">
        <w:rPr>
          <w:rFonts w:ascii="Verdana" w:hAnsi="Verdana"/>
          <w:sz w:val="20"/>
          <w:szCs w:val="20"/>
        </w:rPr>
        <w:t xml:space="preserve"> Dit geneesmiddel is onderworpen aan aanvullende monitoring. Daardoor kan snel nieuwe veiligheids</w:t>
      </w:r>
      <w:r w:rsidRPr="00D754F1">
        <w:rPr>
          <w:rFonts w:ascii="Verdana" w:hAnsi="Verdana"/>
          <w:sz w:val="20"/>
          <w:szCs w:val="20"/>
        </w:rPr>
        <w:softHyphen/>
        <w:t xml:space="preserve">informatie worden vastgesteld. Beroepsbeoefenaren in de gezondheidszorg wordt verzocht alle vermoedelijke bijwerkingen te melden. </w:t>
      </w:r>
      <w:r w:rsidRPr="00D754F1">
        <w:rPr>
          <w:rFonts w:ascii="Verdana" w:hAnsi="Verdana"/>
          <w:b/>
          <w:sz w:val="20"/>
          <w:szCs w:val="20"/>
        </w:rPr>
        <w:t xml:space="preserve">Darzalex 20 mg/ml </w:t>
      </w:r>
      <w:r w:rsidRPr="00D754F1">
        <w:rPr>
          <w:rFonts w:ascii="Verdana" w:hAnsi="Verdana"/>
          <w:sz w:val="20"/>
          <w:szCs w:val="20"/>
        </w:rPr>
        <w:t xml:space="preserve">concentraat voor oplossing voor infusie. </w:t>
      </w:r>
      <w:r w:rsidRPr="00D754F1">
        <w:rPr>
          <w:rFonts w:ascii="Verdana" w:hAnsi="Verdana"/>
          <w:b/>
          <w:sz w:val="20"/>
          <w:szCs w:val="20"/>
        </w:rPr>
        <w:t xml:space="preserve">Samenstelling </w:t>
      </w:r>
      <w:r w:rsidRPr="00D754F1">
        <w:rPr>
          <w:rFonts w:ascii="Verdana" w:hAnsi="Verdana"/>
          <w:sz w:val="20"/>
          <w:szCs w:val="20"/>
        </w:rPr>
        <w:t>Daratumumab is een humaan monoklonaal IgG1κ</w:t>
      </w:r>
      <w:r w:rsidRPr="00D754F1">
        <w:rPr>
          <w:rFonts w:ascii="Verdana" w:hAnsi="Verdana"/>
          <w:sz w:val="20"/>
          <w:szCs w:val="20"/>
        </w:rPr>
        <w:noBreakHyphen/>
        <w:t>antilichaam tegen CD38</w:t>
      </w:r>
      <w:r w:rsidRPr="00D754F1">
        <w:rPr>
          <w:rFonts w:ascii="Verdana" w:hAnsi="Verdana"/>
          <w:sz w:val="20"/>
          <w:szCs w:val="20"/>
        </w:rPr>
        <w:noBreakHyphen/>
        <w:t>antigeen. Elke injectieflacon van 5 ml bevat 100 mg daratumumab (20 mg daratumumab per ml). Elke injectieflacon van 20 ml bevat 400 mg daratumumab (20 mg daratumumab per ml).</w:t>
      </w:r>
      <w:r w:rsidRPr="00D754F1">
        <w:rPr>
          <w:rFonts w:ascii="Verdana" w:hAnsi="Verdana"/>
          <w:sz w:val="20"/>
          <w:szCs w:val="20"/>
          <w:lang w:val="nl-BE"/>
        </w:rPr>
        <w:t xml:space="preserve"> </w:t>
      </w:r>
      <w:r w:rsidRPr="00D754F1">
        <w:rPr>
          <w:rFonts w:ascii="Verdana" w:hAnsi="Verdana"/>
          <w:b/>
          <w:bCs/>
          <w:sz w:val="20"/>
          <w:szCs w:val="20"/>
        </w:rPr>
        <w:t xml:space="preserve">Indicaties </w:t>
      </w:r>
      <w:r w:rsidRPr="00D754F1">
        <w:rPr>
          <w:rFonts w:ascii="Verdana" w:hAnsi="Verdana"/>
          <w:sz w:val="20"/>
          <w:szCs w:val="20"/>
        </w:rPr>
        <w:t>Darzalex is geïndiceerd als monotherapie voor de behandeling van volwassen patiënten met gerecidiveerd en refractair multipel myeloom, bij wie de voorgaande behandeling bestond uit een proteasoomremmer en een immunomodulerend middel en die bij de laatste behandeling ziekteprogressie hebben vertoond. Darzalex in combinatie met lenalidomide en dexamethason, of bortezomib en dexamethason is geïndiceerd voor de behandeling van volwassen patiënten met multipel myeloom die minstens 1 eerdere behandeling hebben gehad.</w:t>
      </w:r>
      <w:r>
        <w:rPr>
          <w:rFonts w:ascii="Verdana" w:hAnsi="Verdana"/>
          <w:sz w:val="20"/>
          <w:szCs w:val="20"/>
        </w:rPr>
        <w:t xml:space="preserve"> </w:t>
      </w:r>
      <w:r w:rsidRPr="00D754F1">
        <w:rPr>
          <w:rFonts w:ascii="Verdana" w:hAnsi="Verdana"/>
          <w:b/>
          <w:sz w:val="20"/>
          <w:szCs w:val="20"/>
          <w:lang w:val="nl-BE"/>
        </w:rPr>
        <w:t>D</w:t>
      </w:r>
      <w:r w:rsidRPr="00D754F1">
        <w:rPr>
          <w:rFonts w:ascii="Verdana" w:hAnsi="Verdana"/>
          <w:b/>
          <w:bCs/>
          <w:sz w:val="20"/>
          <w:szCs w:val="20"/>
        </w:rPr>
        <w:t xml:space="preserve">osering en toediening </w:t>
      </w:r>
      <w:r w:rsidRPr="00D754F1">
        <w:rPr>
          <w:rFonts w:ascii="Verdana" w:hAnsi="Verdana"/>
          <w:sz w:val="20"/>
          <w:szCs w:val="20"/>
        </w:rPr>
        <w:t xml:space="preserve">Darzalex is bestemd voor intraveneus gebruik. Het wordt toegediend als intraveneuze infusie na verdunning met 0,9% (9 mg/ml) natriumchloride oplossing voor injectie. Voor instructies </w:t>
      </w:r>
      <w:r w:rsidRPr="00D754F1">
        <w:rPr>
          <w:rFonts w:ascii="Verdana" w:hAnsi="Verdana"/>
          <w:sz w:val="20"/>
          <w:szCs w:val="20"/>
        </w:rPr>
        <w:lastRenderedPageBreak/>
        <w:t>over verdunning van het geneesmiddel voorafgaand aan toediening, zie SmPC. De aanbevolen dosis is Darzalex 16 mg/kg lichaamsgewicht toegediend als intraveneuze infusie. Voor de behandelschema’s zie SmPC. De infusie met Darzalex dient intraveneus te worden toegediend met de aangegeven initiële infusiesnelheid, zoals getoond in de SmPC. Stapsgewijze verhoging van de infusiesnelheid (zie SmPC), dient alleen overwogen te worden bij afwezigheid van infusiegerelateerde reacties. Darzalex moet worden toegediend door een beroepsbeoefenaar in de gezondheidszorg, in een omgeving waar reanimatie</w:t>
      </w:r>
      <w:r w:rsidRPr="00D754F1">
        <w:rPr>
          <w:rFonts w:ascii="Verdana" w:hAnsi="Verdana"/>
          <w:sz w:val="20"/>
          <w:szCs w:val="20"/>
        </w:rPr>
        <w:softHyphen/>
        <w:t xml:space="preserve">faciliteiten voorhanden zijn. Vóór en na de infusie moet medicatie worden toegediend om het risico op infusiegerelateerde reacties (IRR’s) met daratumumab te beperken zie hiervoor de SmPC. </w:t>
      </w:r>
      <w:r w:rsidRPr="00D754F1">
        <w:rPr>
          <w:rFonts w:ascii="Verdana" w:hAnsi="Verdana"/>
          <w:b/>
          <w:iCs/>
          <w:sz w:val="20"/>
          <w:szCs w:val="20"/>
        </w:rPr>
        <w:t>Aanpak van infusie</w:t>
      </w:r>
      <w:r w:rsidRPr="00D754F1">
        <w:rPr>
          <w:rFonts w:ascii="Verdana" w:hAnsi="Verdana"/>
          <w:b/>
          <w:iCs/>
          <w:sz w:val="20"/>
          <w:szCs w:val="20"/>
        </w:rPr>
        <w:softHyphen/>
        <w:t xml:space="preserve">gerelateerde reacties </w:t>
      </w:r>
      <w:r w:rsidRPr="00D754F1">
        <w:rPr>
          <w:rFonts w:ascii="Verdana" w:hAnsi="Verdana"/>
          <w:sz w:val="20"/>
          <w:szCs w:val="20"/>
        </w:rPr>
        <w:t>In het geval van IRR's, ongeacht de graad/ernst, de Darzalex</w:t>
      </w:r>
      <w:r w:rsidRPr="00D754F1">
        <w:rPr>
          <w:rFonts w:ascii="Verdana" w:hAnsi="Verdana"/>
          <w:sz w:val="20"/>
          <w:szCs w:val="20"/>
        </w:rPr>
        <w:noBreakHyphen/>
        <w:t xml:space="preserve">infusie onmiddellijk onderbreken en de symptomen behandelen. Voor de behandeling van IRR's kan het daarnaast nodig zijn de infusiesnelheid te verlagen of de behandeling met Darzalex stop te zetten, zie hiervoor de SmPC. </w:t>
      </w:r>
      <w:r w:rsidRPr="00D754F1">
        <w:rPr>
          <w:rFonts w:ascii="Verdana" w:hAnsi="Verdana"/>
          <w:b/>
          <w:sz w:val="20"/>
          <w:szCs w:val="20"/>
        </w:rPr>
        <w:t>C</w:t>
      </w:r>
      <w:r w:rsidRPr="00D754F1">
        <w:rPr>
          <w:rFonts w:ascii="Verdana" w:hAnsi="Verdana"/>
          <w:b/>
          <w:bCs/>
          <w:sz w:val="20"/>
          <w:szCs w:val="20"/>
        </w:rPr>
        <w:t>ontra</w:t>
      </w:r>
      <w:r w:rsidRPr="00D754F1">
        <w:rPr>
          <w:rFonts w:ascii="Verdana" w:hAnsi="Verdana"/>
          <w:b/>
          <w:bCs/>
          <w:sz w:val="20"/>
          <w:szCs w:val="20"/>
        </w:rPr>
        <w:noBreakHyphen/>
        <w:t xml:space="preserve">indicaties </w:t>
      </w:r>
      <w:r w:rsidRPr="00D754F1">
        <w:rPr>
          <w:rFonts w:ascii="Verdana" w:hAnsi="Verdana"/>
          <w:sz w:val="20"/>
          <w:szCs w:val="20"/>
        </w:rPr>
        <w:t xml:space="preserve">Overgevoeligheid voor de werkzame stof of voor een van de in de SmPC vermelde hulpstoffen. </w:t>
      </w:r>
      <w:r w:rsidRPr="00D754F1">
        <w:rPr>
          <w:rFonts w:ascii="Verdana" w:hAnsi="Verdana"/>
          <w:b/>
          <w:bCs/>
          <w:sz w:val="20"/>
          <w:szCs w:val="20"/>
        </w:rPr>
        <w:t xml:space="preserve">Waarschuwingen </w:t>
      </w:r>
      <w:r w:rsidRPr="00D754F1">
        <w:rPr>
          <w:rFonts w:ascii="Verdana" w:hAnsi="Verdana"/>
          <w:sz w:val="20"/>
          <w:szCs w:val="20"/>
        </w:rPr>
        <w:t xml:space="preserve">Infusiegerelateerde reacties (IRR’s) werden gemeld bij ongeveer de helft van alle patiënten die met Darzalex werden behandeld. Monitor deze patiënten tijdens de gehele infusie en in de periode na de infusie. De meerderheid van de IRR’s trad op bij de eerste infusie. Vier procent van alle patiënten kreeg bij meer dan één infusie een IRR. Darzalex kan neutropenie en thrombocytopenie, veroorzaakt door achtergrondbehandeling, verergeren </w:t>
      </w:r>
      <w:r w:rsidRPr="00D754F1">
        <w:rPr>
          <w:rFonts w:ascii="Verdana" w:hAnsi="Verdana"/>
          <w:iCs/>
          <w:sz w:val="20"/>
          <w:szCs w:val="20"/>
        </w:rPr>
        <w:t xml:space="preserve">(zie SmPC). </w:t>
      </w:r>
      <w:r w:rsidRPr="00D754F1">
        <w:rPr>
          <w:rFonts w:ascii="Verdana" w:hAnsi="Verdana"/>
          <w:sz w:val="20"/>
          <w:szCs w:val="20"/>
        </w:rPr>
        <w:t xml:space="preserve">Controleer tijdens de behandeling regelmatig het volledige bloedbeeld volgens de voorschrijfinformatie van de fabrikant met betrekking tot achtergrondbehandelingen. Controleer patiënten met neutropenie op tekenen van infectie. Het kan nodig zijn de behandeling met Darzalex op te schorten totdat het bloedbeeld is hersteld. Het wordt afgeraden de dosis van Darzalex te verlagen. Overweeg een ondersteunende behandeling met bloedtransfusies of groeifactoren. Daratumumab bindt aan CD38 dat in geringe mate tot expressie komt op rode bloedcellen (RBC’s), wat aanleiding kan geven tot een positieve indirecte Coombstest. Een positieve indirecte Coombstest ten gevolge van daratumumab kan tot 6 maanden na de laatste infusie met daratumumab voorkomen. Er dient rekening mee te worden gehouden dat aan RBC’s gebonden daratumumab de detectie van antilichamen tegen </w:t>
      </w:r>
      <w:r w:rsidRPr="00D754F1">
        <w:rPr>
          <w:rFonts w:ascii="Verdana" w:hAnsi="Verdana"/>
          <w:i/>
          <w:sz w:val="20"/>
          <w:szCs w:val="20"/>
        </w:rPr>
        <w:t>minor</w:t>
      </w:r>
      <w:r w:rsidRPr="00D754F1">
        <w:rPr>
          <w:rFonts w:ascii="Verdana" w:hAnsi="Verdana"/>
          <w:sz w:val="20"/>
          <w:szCs w:val="20"/>
        </w:rPr>
        <w:noBreakHyphen/>
        <w:t>antigenen in het serum van de patiënt kan maskeren. De bepaling van de bloedgroep (ABO) en resusfactor van een patiënt wordt niet beïnvloed. Patiënten dienen getypeerd en gescreend te worden alvorens de behandeling met daratumumab te starten in overeenstemming met de lokale praktijken. Rode</w:t>
      </w:r>
      <w:r w:rsidRPr="00D754F1">
        <w:rPr>
          <w:rFonts w:ascii="Verdana" w:hAnsi="Verdana"/>
          <w:sz w:val="20"/>
          <w:szCs w:val="20"/>
        </w:rPr>
        <w:noBreakHyphen/>
        <w:t>bloedcelgenotypering wordt niet beïnvloed door daratumumab en kan op ieder moment uitgevoerd worden. Indien een bloedtransfusie is gepland, dient het bloedtransfusiecentrum van deze interferentie met de indirecte antiglobulinetest op de hoogte te worden gesteld (zie SmPC). Wanneer een noodtransfusie nodig is, kunnen ABO/RhD</w:t>
      </w:r>
      <w:r w:rsidRPr="00D754F1">
        <w:rPr>
          <w:rFonts w:ascii="Verdana" w:hAnsi="Verdana"/>
          <w:sz w:val="20"/>
          <w:szCs w:val="20"/>
        </w:rPr>
        <w:noBreakHyphen/>
        <w:t>compatibele RBC’s zonder kruisproef worden gegeven volgens de voorschriften van de lokale bloedbank.</w:t>
      </w:r>
      <w:r w:rsidRPr="00D754F1">
        <w:rPr>
          <w:rFonts w:ascii="Verdana" w:hAnsi="Verdana"/>
          <w:sz w:val="20"/>
          <w:szCs w:val="20"/>
          <w:lang w:val="nl-BE"/>
        </w:rPr>
        <w:t xml:space="preserve"> </w:t>
      </w:r>
      <w:r w:rsidRPr="00D754F1">
        <w:rPr>
          <w:rFonts w:ascii="Verdana" w:hAnsi="Verdana"/>
          <w:sz w:val="20"/>
          <w:szCs w:val="20"/>
        </w:rPr>
        <w:t>Daratumumab is een humaan monoklonaal IgG</w:t>
      </w:r>
      <w:r w:rsidRPr="00D754F1">
        <w:rPr>
          <w:rFonts w:ascii="Verdana" w:hAnsi="Verdana"/>
          <w:sz w:val="20"/>
          <w:szCs w:val="20"/>
        </w:rPr>
        <w:noBreakHyphen/>
        <w:t>kappa antilichaam dat gedetecteerd kan worden via zowel serumproteïne elektroforese (SPE) als immunofixatie (IFE), die beide gebruikt worden voor de klinische monitoring van endogeen M</w:t>
      </w:r>
      <w:r w:rsidRPr="00D754F1">
        <w:rPr>
          <w:rFonts w:ascii="Verdana" w:hAnsi="Verdana"/>
          <w:sz w:val="20"/>
          <w:szCs w:val="20"/>
        </w:rPr>
        <w:noBreakHyphen/>
        <w:t>proteïne (zie SmPC). Deze interferentie kan bij sommige patiënten met IgG</w:t>
      </w:r>
      <w:r w:rsidRPr="00D754F1">
        <w:rPr>
          <w:rFonts w:ascii="Verdana" w:hAnsi="Verdana"/>
          <w:sz w:val="20"/>
          <w:szCs w:val="20"/>
        </w:rPr>
        <w:noBreakHyphen/>
        <w:t>kappa myeloomproteïne invloed hebben op de bepaling van de complete respons en van de ziekteprogressie.</w:t>
      </w:r>
      <w:r w:rsidRPr="00D754F1">
        <w:rPr>
          <w:rFonts w:ascii="Verdana" w:hAnsi="Verdana"/>
          <w:sz w:val="20"/>
          <w:szCs w:val="20"/>
          <w:lang w:val="nl-BE"/>
        </w:rPr>
        <w:t xml:space="preserve"> </w:t>
      </w:r>
      <w:r w:rsidRPr="00D754F1">
        <w:rPr>
          <w:rFonts w:ascii="Verdana" w:hAnsi="Verdana"/>
          <w:b/>
          <w:bCs/>
          <w:sz w:val="20"/>
          <w:szCs w:val="20"/>
        </w:rPr>
        <w:t xml:space="preserve">Interacties </w:t>
      </w:r>
      <w:r w:rsidRPr="00D754F1">
        <w:rPr>
          <w:rFonts w:ascii="Verdana" w:hAnsi="Verdana"/>
          <w:sz w:val="20"/>
          <w:szCs w:val="20"/>
        </w:rPr>
        <w:t>Er is geen onderzoek naar interacties uitgevoerd. Het is niet waarschijnlijk dat renale uitscheiding en metabolisme door leverenzymen van intact daratumumab belangrijke eliminatieroutes zullen vormen. Er wordt bijgevolg niet verwacht dat variaties in de enzymen die geneesmiddelen metaboliseren de eliminatie van daratumumab beïnvloeden. Door de hoge affiniteit voor een unieke epitoop op CD38 wordt niet verwacht dat daratumumab geneesmiddelmetaboliserende enzymen zal veranderen. Klinische farmacokinetische evaluaties van pomalidomide, thalidomide en bortezomib wezen niet op klinisch relevante geneesmiddeleninteracties tussen Darzalex en deze combinatie</w:t>
      </w:r>
      <w:r w:rsidRPr="00D754F1">
        <w:rPr>
          <w:rFonts w:ascii="Verdana" w:hAnsi="Verdana"/>
          <w:sz w:val="20"/>
          <w:szCs w:val="20"/>
        </w:rPr>
        <w:softHyphen/>
        <w:t xml:space="preserve">behandelingen. </w:t>
      </w:r>
      <w:r w:rsidRPr="00D754F1">
        <w:rPr>
          <w:rFonts w:ascii="Verdana" w:hAnsi="Verdana"/>
          <w:b/>
          <w:sz w:val="20"/>
          <w:szCs w:val="20"/>
          <w:lang w:val="nl-BE"/>
        </w:rPr>
        <w:t>V</w:t>
      </w:r>
      <w:r w:rsidRPr="00D754F1">
        <w:rPr>
          <w:rFonts w:ascii="Verdana" w:hAnsi="Verdana"/>
          <w:b/>
          <w:bCs/>
          <w:sz w:val="20"/>
          <w:szCs w:val="20"/>
        </w:rPr>
        <w:t>ruchtbaarheid, zwangerschap en borstvoeding</w:t>
      </w:r>
      <w:r w:rsidRPr="00D754F1">
        <w:rPr>
          <w:rFonts w:ascii="Verdana" w:hAnsi="Verdana"/>
          <w:sz w:val="20"/>
          <w:szCs w:val="20"/>
          <w:lang w:val="nl-BE"/>
        </w:rPr>
        <w:t xml:space="preserve"> </w:t>
      </w:r>
      <w:r w:rsidRPr="00D754F1">
        <w:rPr>
          <w:rFonts w:ascii="Verdana" w:hAnsi="Verdana"/>
          <w:sz w:val="20"/>
          <w:szCs w:val="20"/>
        </w:rPr>
        <w:t xml:space="preserve">Vrouwen die zwanger kunnen worden, moeten effectieve anticonceptie gebruiken tijdens en gedurende 3 maanden na het stoppen van de behandeling met daratumumab. Er zijn geen gegevens beschikbaar uit onderzoek bij dieren of bij mensen om het risico van gebruik van daratumumab tijdens de zwangerschap te beoordelen. Het is niet bekend of daratumumab bij </w:t>
      </w:r>
      <w:r w:rsidRPr="00D754F1">
        <w:rPr>
          <w:rFonts w:ascii="Verdana" w:hAnsi="Verdana"/>
          <w:sz w:val="20"/>
          <w:szCs w:val="20"/>
        </w:rPr>
        <w:lastRenderedPageBreak/>
        <w:t>de mens of bij dieren in de melk wordt uitgescheiden. Er zijn geen gegevens beschikbaar om te bepalen wat de mogelijke effecten zijn van daratumumab op de vruchtbaarheid bij de man of de vrouw.</w:t>
      </w:r>
      <w:r w:rsidRPr="00D754F1">
        <w:rPr>
          <w:rFonts w:ascii="Verdana" w:hAnsi="Verdana"/>
          <w:sz w:val="20"/>
          <w:szCs w:val="20"/>
          <w:lang w:val="nl-BE"/>
        </w:rPr>
        <w:t xml:space="preserve"> </w:t>
      </w:r>
      <w:r w:rsidRPr="00D754F1">
        <w:rPr>
          <w:rFonts w:ascii="Verdana" w:hAnsi="Verdana"/>
          <w:b/>
          <w:bCs/>
          <w:sz w:val="20"/>
          <w:szCs w:val="20"/>
        </w:rPr>
        <w:t xml:space="preserve">Rijvaardigheid </w:t>
      </w:r>
      <w:r w:rsidRPr="00D754F1">
        <w:rPr>
          <w:rFonts w:ascii="Verdana" w:hAnsi="Verdana"/>
          <w:bCs/>
          <w:sz w:val="20"/>
          <w:szCs w:val="20"/>
        </w:rPr>
        <w:t>Darzalex</w:t>
      </w:r>
      <w:r w:rsidRPr="00D754F1">
        <w:rPr>
          <w:rFonts w:ascii="Verdana" w:hAnsi="Verdana"/>
          <w:sz w:val="20"/>
          <w:szCs w:val="20"/>
        </w:rPr>
        <w:t xml:space="preserve"> heeft geen of een verwaarloosbare invloed op de rijvaardigheid en op het vermogen om machines te bedienen. Vermoeidheid is echter gemeld bij patiënten die daratumumab gebruiken en dit dient in overweging te worden genomen bij het rijden of het bedienen van machines. </w:t>
      </w:r>
      <w:r w:rsidRPr="00D754F1">
        <w:rPr>
          <w:rFonts w:ascii="Verdana" w:hAnsi="Verdana"/>
          <w:b/>
          <w:sz w:val="20"/>
          <w:szCs w:val="20"/>
        </w:rPr>
        <w:t>Bi</w:t>
      </w:r>
      <w:r w:rsidRPr="00D754F1">
        <w:rPr>
          <w:rFonts w:ascii="Verdana" w:hAnsi="Verdana"/>
          <w:b/>
          <w:bCs/>
          <w:sz w:val="20"/>
          <w:szCs w:val="20"/>
        </w:rPr>
        <w:t xml:space="preserve">jwerkingen </w:t>
      </w:r>
      <w:r w:rsidRPr="00D754F1">
        <w:rPr>
          <w:rFonts w:ascii="Verdana" w:hAnsi="Verdana"/>
          <w:bCs/>
          <w:sz w:val="20"/>
          <w:szCs w:val="20"/>
        </w:rPr>
        <w:t xml:space="preserve">zie SmPC. </w:t>
      </w:r>
      <w:r w:rsidRPr="00D754F1">
        <w:rPr>
          <w:rFonts w:ascii="Verdana" w:hAnsi="Verdana"/>
          <w:sz w:val="20"/>
          <w:szCs w:val="20"/>
        </w:rPr>
        <w:t xml:space="preserve">De vaakst voorkomende bijwerkingen (&gt; 20%) in afzonderlijke, gerandomiseerde, gecontroleerde studies waren infusiegerelateerde reacties, </w:t>
      </w:r>
      <w:r w:rsidRPr="00D754F1">
        <w:rPr>
          <w:rFonts w:ascii="Verdana" w:hAnsi="Verdana"/>
          <w:bCs/>
          <w:iCs/>
          <w:sz w:val="20"/>
          <w:szCs w:val="20"/>
        </w:rPr>
        <w:t>vermoeidheid, nausea, diarree, spierspasmen, pyrexie, hoesten, dyspneu, neutropenie, trombocytopenie en bovensteluchtweginfectie</w:t>
      </w:r>
      <w:r w:rsidRPr="00D754F1">
        <w:rPr>
          <w:rFonts w:ascii="Verdana" w:hAnsi="Verdana"/>
          <w:sz w:val="20"/>
          <w:szCs w:val="20"/>
        </w:rPr>
        <w:t xml:space="preserve">. Daarnaast werden perifeer oedeem en perifere sensorische neuropathie vaak gemeld in combinatie met bortezomib. Ernstige bijwerkingen waren pneumonie, </w:t>
      </w:r>
      <w:r w:rsidRPr="00D754F1">
        <w:rPr>
          <w:rFonts w:ascii="Verdana" w:hAnsi="Verdana"/>
          <w:bCs/>
          <w:iCs/>
          <w:sz w:val="20"/>
          <w:szCs w:val="20"/>
        </w:rPr>
        <w:t>bovensteluchtweginfectie</w:t>
      </w:r>
      <w:r w:rsidRPr="00D754F1">
        <w:rPr>
          <w:rFonts w:ascii="Verdana" w:hAnsi="Verdana"/>
          <w:sz w:val="20"/>
          <w:szCs w:val="20"/>
        </w:rPr>
        <w:t>, griep, pyrexie, diarree en atriale fibrillatie.  In klinische studies (monotherapie en combinatietherapie; n = 820) bedroeg de incidentie van de infusiegerelateerde reacties van alle graden bij de eerste infusie met Darzalex 46%, bij de tweede infusie 2% en bij de volgende infusies 3%. Bij minder dan 1% van de patiënten trad een infusiegerelateerde reactie van graad 3 op bij de tweede infusie of volgende infusies. De mediane tijd tot het begin van een reactie was 1,4 uur (bereik: 0,02 tot 72,8 uur). De incidentie van onderbrekingen van een infusie vanwege reacties was 42%. De mediane infusieduur voor de 1</w:t>
      </w:r>
      <w:r w:rsidRPr="00D754F1">
        <w:rPr>
          <w:rFonts w:ascii="Verdana" w:hAnsi="Verdana"/>
          <w:sz w:val="20"/>
          <w:szCs w:val="20"/>
          <w:vertAlign w:val="superscript"/>
        </w:rPr>
        <w:t>e</w:t>
      </w:r>
      <w:r w:rsidRPr="00D754F1">
        <w:rPr>
          <w:rFonts w:ascii="Verdana" w:hAnsi="Verdana"/>
          <w:sz w:val="20"/>
          <w:szCs w:val="20"/>
        </w:rPr>
        <w:t>, 2</w:t>
      </w:r>
      <w:r w:rsidRPr="00D754F1">
        <w:rPr>
          <w:rFonts w:ascii="Verdana" w:hAnsi="Verdana"/>
          <w:sz w:val="20"/>
          <w:szCs w:val="20"/>
          <w:vertAlign w:val="superscript"/>
        </w:rPr>
        <w:t>e</w:t>
      </w:r>
      <w:r w:rsidRPr="00D754F1">
        <w:rPr>
          <w:rFonts w:ascii="Verdana" w:hAnsi="Verdana"/>
          <w:sz w:val="20"/>
          <w:szCs w:val="20"/>
        </w:rPr>
        <w:t xml:space="preserve"> en volgende infusies was respectievelijk 7, 4,3 en 3,5 uur.</w:t>
      </w:r>
    </w:p>
    <w:p w:rsidR="00D754F1" w:rsidRDefault="00D754F1" w:rsidP="00D754F1">
      <w:pPr>
        <w:jc w:val="both"/>
        <w:rPr>
          <w:rFonts w:ascii="Verdana" w:hAnsi="Verdana"/>
          <w:sz w:val="20"/>
          <w:szCs w:val="20"/>
        </w:rPr>
      </w:pPr>
      <w:r w:rsidRPr="00D754F1">
        <w:rPr>
          <w:rFonts w:ascii="Verdana" w:hAnsi="Verdana"/>
          <w:sz w:val="20"/>
          <w:szCs w:val="20"/>
        </w:rPr>
        <w:t xml:space="preserve">Ernstige (graad 3) infusiegerelateerde reacties waren bronchospasme, dyspneu, larynxoedeem, longoedeem, hypoxie en hypertensie. Andere infusiegerelateerde reacties (alle graden, ≥ 5%) waren neusverstopping, hoesten, koude rillingen, keelirritatie, braken en nausea. </w:t>
      </w:r>
      <w:r w:rsidRPr="00D754F1">
        <w:rPr>
          <w:rFonts w:ascii="Verdana" w:hAnsi="Verdana"/>
          <w:sz w:val="20"/>
          <w:szCs w:val="20"/>
          <w:lang w:eastAsia="en-GB"/>
        </w:rPr>
        <w:t xml:space="preserve">Bij patiënten die werden behandeld met een Darzalex-combinatietherapie zijn infecties van graad 3 of 4 gemeld met Darzalex-combinaties en achtergrondbehandelingen (DVd: 21%, Vd: 19%; DRd: 27%, Rd: 23%; DPd: 28%). </w:t>
      </w:r>
      <w:r w:rsidRPr="00D754F1">
        <w:rPr>
          <w:rFonts w:ascii="Verdana" w:hAnsi="Verdana"/>
          <w:sz w:val="20"/>
          <w:szCs w:val="20"/>
        </w:rPr>
        <w:t xml:space="preserve">Het is belangrijk om na toelating van het geneesmiddel vermoedelijke bijwerkingen te melden via </w:t>
      </w:r>
      <w:hyperlink r:id="rId13" w:history="1">
        <w:r w:rsidRPr="00D754F1">
          <w:rPr>
            <w:rStyle w:val="Hyperlink"/>
            <w:rFonts w:ascii="Verdana" w:hAnsi="Verdana"/>
            <w:sz w:val="20"/>
            <w:szCs w:val="20"/>
          </w:rPr>
          <w:t>www.lareb.nl</w:t>
        </w:r>
      </w:hyperlink>
      <w:r w:rsidRPr="00D754F1">
        <w:rPr>
          <w:rFonts w:ascii="Verdana" w:hAnsi="Verdana"/>
          <w:sz w:val="20"/>
          <w:szCs w:val="20"/>
        </w:rPr>
        <w:t xml:space="preserve">. </w:t>
      </w:r>
      <w:r w:rsidRPr="00D754F1">
        <w:rPr>
          <w:rFonts w:ascii="Verdana" w:hAnsi="Verdana"/>
          <w:b/>
          <w:bCs/>
          <w:sz w:val="20"/>
          <w:szCs w:val="20"/>
        </w:rPr>
        <w:t xml:space="preserve">Verpakking </w:t>
      </w:r>
      <w:r w:rsidRPr="00D754F1">
        <w:rPr>
          <w:rFonts w:ascii="Verdana" w:hAnsi="Verdana"/>
          <w:sz w:val="20"/>
          <w:szCs w:val="20"/>
        </w:rPr>
        <w:t>Type1</w:t>
      </w:r>
      <w:r w:rsidRPr="00D754F1">
        <w:rPr>
          <w:rFonts w:ascii="Verdana" w:hAnsi="Verdana"/>
          <w:sz w:val="20"/>
          <w:szCs w:val="20"/>
        </w:rPr>
        <w:noBreakHyphen/>
        <w:t>glazen injectieflacon met elastomeersluiting en aluminium</w:t>
      </w:r>
      <w:r w:rsidRPr="00D754F1">
        <w:rPr>
          <w:rFonts w:ascii="Verdana" w:hAnsi="Verdana"/>
          <w:sz w:val="20"/>
          <w:szCs w:val="20"/>
        </w:rPr>
        <w:softHyphen/>
        <w:t>afsluiting met een flip</w:t>
      </w:r>
      <w:r w:rsidRPr="00D754F1">
        <w:rPr>
          <w:rFonts w:ascii="Verdana" w:hAnsi="Verdana"/>
          <w:sz w:val="20"/>
          <w:szCs w:val="20"/>
        </w:rPr>
        <w:noBreakHyphen/>
        <w:t>offdop met daarin 100 mg daratumumab. Verpakking met 1 injectieflacon.</w:t>
      </w:r>
      <w:bookmarkStart w:id="1" w:name="OLE_LINK1"/>
    </w:p>
    <w:p w:rsidR="00D754F1" w:rsidRDefault="00D754F1" w:rsidP="00D754F1">
      <w:pPr>
        <w:jc w:val="both"/>
        <w:rPr>
          <w:rStyle w:val="Hyperlink"/>
          <w:rFonts w:ascii="Verdana" w:hAnsi="Verdana"/>
          <w:b/>
          <w:color w:val="auto"/>
          <w:sz w:val="20"/>
          <w:szCs w:val="20"/>
          <w:u w:val="none"/>
        </w:rPr>
      </w:pPr>
      <w:r w:rsidRPr="00D754F1">
        <w:rPr>
          <w:rFonts w:ascii="Verdana" w:hAnsi="Verdana"/>
          <w:b/>
          <w:sz w:val="20"/>
          <w:szCs w:val="20"/>
        </w:rPr>
        <w:t xml:space="preserve">Uitgebreide productinformatie beschikbaar op </w:t>
      </w:r>
      <w:hyperlink r:id="rId14" w:history="1">
        <w:r w:rsidRPr="00D754F1">
          <w:rPr>
            <w:rStyle w:val="Hyperlink"/>
            <w:rFonts w:ascii="Verdana" w:hAnsi="Verdana"/>
            <w:sz w:val="20"/>
            <w:szCs w:val="20"/>
          </w:rPr>
          <w:t>www.janssen.com/nederland</w:t>
        </w:r>
      </w:hyperlink>
    </w:p>
    <w:p w:rsidR="00D754F1" w:rsidRPr="00D754F1" w:rsidRDefault="00D754F1" w:rsidP="00D754F1">
      <w:pPr>
        <w:jc w:val="both"/>
        <w:rPr>
          <w:rFonts w:ascii="Verdana" w:hAnsi="Verdana"/>
          <w:sz w:val="20"/>
          <w:szCs w:val="20"/>
          <w:lang w:val="nl-BE"/>
        </w:rPr>
      </w:pPr>
      <w:r w:rsidRPr="00D754F1">
        <w:rPr>
          <w:rFonts w:ascii="Verdana" w:hAnsi="Verdana"/>
          <w:b/>
          <w:sz w:val="20"/>
          <w:szCs w:val="20"/>
        </w:rPr>
        <w:t xml:space="preserve">Datum </w:t>
      </w:r>
      <w:r w:rsidRPr="00D754F1">
        <w:rPr>
          <w:rFonts w:ascii="Verdana" w:hAnsi="Verdana"/>
          <w:sz w:val="20"/>
          <w:szCs w:val="20"/>
        </w:rPr>
        <w:t>april 2017.</w:t>
      </w:r>
      <w:bookmarkEnd w:id="1"/>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D5279F" w:rsidRPr="00D5279F" w:rsidRDefault="00D5279F" w:rsidP="00D5279F">
      <w:pPr>
        <w:rPr>
          <w:rFonts w:ascii="Verdana" w:hAnsi="Verdana"/>
          <w:sz w:val="20"/>
          <w:szCs w:val="20"/>
          <w:lang w:val="nl-BE"/>
        </w:rPr>
      </w:pPr>
    </w:p>
    <w:p w:rsidR="00B879BF" w:rsidRPr="00D5279F" w:rsidRDefault="00B879BF" w:rsidP="00D754F1">
      <w:pPr>
        <w:tabs>
          <w:tab w:val="left" w:pos="8235"/>
        </w:tabs>
        <w:rPr>
          <w:rFonts w:ascii="Verdana" w:hAnsi="Verdana"/>
          <w:sz w:val="20"/>
          <w:szCs w:val="20"/>
          <w:lang w:val="nl-BE"/>
        </w:rPr>
      </w:pPr>
    </w:p>
    <w:sectPr w:rsidR="00B879BF" w:rsidRPr="00D5279F" w:rsidSect="00861186">
      <w:footerReference w:type="default" r:id="rId15"/>
      <w:pgSz w:w="12240" w:h="15840" w:code="1"/>
      <w:pgMar w:top="1418" w:right="1440" w:bottom="816" w:left="1440" w:header="708" w:footer="708"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EF" w:rsidRDefault="00D338EF" w:rsidP="00905F75">
      <w:r>
        <w:separator/>
      </w:r>
    </w:p>
  </w:endnote>
  <w:endnote w:type="continuationSeparator" w:id="0">
    <w:p w:rsidR="00D338EF" w:rsidRDefault="00D338EF" w:rsidP="00905F75">
      <w:r>
        <w:continuationSeparator/>
      </w:r>
    </w:p>
  </w:endnote>
  <w:endnote w:type="continuationNotice" w:id="1">
    <w:p w:rsidR="00D338EF" w:rsidRDefault="00D33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dvOT3c2d9f11">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Shaker2Lancet-Bold">
    <w:altName w:val="MS Mincho"/>
    <w:panose1 w:val="00000000000000000000"/>
    <w:charset w:val="80"/>
    <w:family w:val="auto"/>
    <w:notTrueType/>
    <w:pitch w:val="default"/>
    <w:sig w:usb0="00000001" w:usb1="08070000" w:usb2="00000010" w:usb3="00000000" w:csb0="0002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dvOTd40fda3b.B">
    <w:panose1 w:val="00000000000000000000"/>
    <w:charset w:val="00"/>
    <w:family w:val="roman"/>
    <w:notTrueType/>
    <w:pitch w:val="default"/>
    <w:sig w:usb0="00000003" w:usb1="00000000" w:usb2="00000000" w:usb3="00000000" w:csb0="00000001" w:csb1="00000000"/>
  </w:font>
  <w:font w:name="AdvOTd40fda3b.B+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05" w:rsidRPr="00F240FC" w:rsidRDefault="00DC21F0" w:rsidP="009034B6">
    <w:pPr>
      <w:pStyle w:val="Footer"/>
      <w:jc w:val="right"/>
      <w:rPr>
        <w:rFonts w:ascii="Verdana" w:hAnsi="Verdana"/>
        <w:sz w:val="16"/>
        <w:szCs w:val="16"/>
      </w:rPr>
    </w:pPr>
    <w:r w:rsidRPr="00F240FC">
      <w:rPr>
        <w:rFonts w:ascii="Verdana" w:hAnsi="Verdana"/>
        <w:sz w:val="16"/>
        <w:szCs w:val="16"/>
      </w:rPr>
      <w:t xml:space="preserve">©Janssen-Cilag B.V. - </w:t>
    </w:r>
    <w:r w:rsidR="009034B6" w:rsidRPr="00F240FC">
      <w:rPr>
        <w:rFonts w:ascii="Verdana" w:hAnsi="Verdana"/>
        <w:sz w:val="16"/>
        <w:szCs w:val="16"/>
      </w:rPr>
      <w:t>PHNL/</w:t>
    </w:r>
    <w:r w:rsidR="00C4757B">
      <w:rPr>
        <w:rFonts w:ascii="Verdana" w:hAnsi="Verdana"/>
        <w:sz w:val="16"/>
        <w:szCs w:val="16"/>
      </w:rPr>
      <w:t>DAR/0117/0002</w:t>
    </w:r>
    <w:r w:rsidR="00D754F1">
      <w:rPr>
        <w:rFonts w:ascii="Verdana" w:hAnsi="Verdana"/>
        <w:sz w:val="16"/>
        <w:szCs w:val="16"/>
      </w:rPr>
      <w:t>(2</w:t>
    </w:r>
    <w:r w:rsidR="00D5279F">
      <w:rPr>
        <w:rFonts w:ascii="Verdana" w:hAnsi="Verdan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EF" w:rsidRDefault="00D338EF" w:rsidP="00905F75">
      <w:r>
        <w:separator/>
      </w:r>
    </w:p>
  </w:footnote>
  <w:footnote w:type="continuationSeparator" w:id="0">
    <w:p w:rsidR="00D338EF" w:rsidRDefault="00D338EF" w:rsidP="00905F75">
      <w:r>
        <w:continuationSeparator/>
      </w:r>
    </w:p>
  </w:footnote>
  <w:footnote w:type="continuationNotice" w:id="1">
    <w:p w:rsidR="00D338EF" w:rsidRDefault="00D338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BA"/>
    <w:multiLevelType w:val="hybridMultilevel"/>
    <w:tmpl w:val="B6848298"/>
    <w:lvl w:ilvl="0" w:tplc="C510AD86">
      <w:start w:val="9"/>
      <w:numFmt w:val="decimal"/>
      <w:lvlText w:val="%1"/>
      <w:lvlJc w:val="left"/>
      <w:pPr>
        <w:tabs>
          <w:tab w:val="num" w:pos="360"/>
        </w:tabs>
        <w:ind w:left="340" w:hanging="340"/>
      </w:pPr>
      <w:rPr>
        <w:rFonts w:hint="default"/>
      </w:rPr>
    </w:lvl>
    <w:lvl w:ilvl="1" w:tplc="6DE0B5B6" w:tentative="1">
      <w:start w:val="1"/>
      <w:numFmt w:val="lowerLetter"/>
      <w:lvlText w:val="%2."/>
      <w:lvlJc w:val="left"/>
      <w:pPr>
        <w:tabs>
          <w:tab w:val="num" w:pos="1440"/>
        </w:tabs>
        <w:ind w:left="1440" w:hanging="360"/>
      </w:pPr>
    </w:lvl>
    <w:lvl w:ilvl="2" w:tplc="AED219F8" w:tentative="1">
      <w:start w:val="1"/>
      <w:numFmt w:val="lowerRoman"/>
      <w:lvlText w:val="%3."/>
      <w:lvlJc w:val="right"/>
      <w:pPr>
        <w:tabs>
          <w:tab w:val="num" w:pos="2160"/>
        </w:tabs>
        <w:ind w:left="2160" w:hanging="180"/>
      </w:pPr>
    </w:lvl>
    <w:lvl w:ilvl="3" w:tplc="A20C144E" w:tentative="1">
      <w:start w:val="1"/>
      <w:numFmt w:val="decimal"/>
      <w:lvlText w:val="%4."/>
      <w:lvlJc w:val="left"/>
      <w:pPr>
        <w:tabs>
          <w:tab w:val="num" w:pos="2880"/>
        </w:tabs>
        <w:ind w:left="2880" w:hanging="360"/>
      </w:pPr>
    </w:lvl>
    <w:lvl w:ilvl="4" w:tplc="7A68760E" w:tentative="1">
      <w:start w:val="1"/>
      <w:numFmt w:val="lowerLetter"/>
      <w:lvlText w:val="%5."/>
      <w:lvlJc w:val="left"/>
      <w:pPr>
        <w:tabs>
          <w:tab w:val="num" w:pos="3600"/>
        </w:tabs>
        <w:ind w:left="3600" w:hanging="360"/>
      </w:pPr>
    </w:lvl>
    <w:lvl w:ilvl="5" w:tplc="642205B2" w:tentative="1">
      <w:start w:val="1"/>
      <w:numFmt w:val="lowerRoman"/>
      <w:lvlText w:val="%6."/>
      <w:lvlJc w:val="right"/>
      <w:pPr>
        <w:tabs>
          <w:tab w:val="num" w:pos="4320"/>
        </w:tabs>
        <w:ind w:left="4320" w:hanging="180"/>
      </w:pPr>
    </w:lvl>
    <w:lvl w:ilvl="6" w:tplc="E04689E8" w:tentative="1">
      <w:start w:val="1"/>
      <w:numFmt w:val="decimal"/>
      <w:lvlText w:val="%7."/>
      <w:lvlJc w:val="left"/>
      <w:pPr>
        <w:tabs>
          <w:tab w:val="num" w:pos="5040"/>
        </w:tabs>
        <w:ind w:left="5040" w:hanging="360"/>
      </w:pPr>
    </w:lvl>
    <w:lvl w:ilvl="7" w:tplc="FF040B3C" w:tentative="1">
      <w:start w:val="1"/>
      <w:numFmt w:val="lowerLetter"/>
      <w:lvlText w:val="%8."/>
      <w:lvlJc w:val="left"/>
      <w:pPr>
        <w:tabs>
          <w:tab w:val="num" w:pos="5760"/>
        </w:tabs>
        <w:ind w:left="5760" w:hanging="360"/>
      </w:pPr>
    </w:lvl>
    <w:lvl w:ilvl="8" w:tplc="41F6FEE8" w:tentative="1">
      <w:start w:val="1"/>
      <w:numFmt w:val="lowerRoman"/>
      <w:lvlText w:val="%9."/>
      <w:lvlJc w:val="right"/>
      <w:pPr>
        <w:tabs>
          <w:tab w:val="num" w:pos="6480"/>
        </w:tabs>
        <w:ind w:left="6480" w:hanging="180"/>
      </w:pPr>
    </w:lvl>
  </w:abstractNum>
  <w:abstractNum w:abstractNumId="1" w15:restartNumberingAfterBreak="0">
    <w:nsid w:val="1493101B"/>
    <w:multiLevelType w:val="hybridMultilevel"/>
    <w:tmpl w:val="FA60EA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020FA5"/>
    <w:multiLevelType w:val="hybridMultilevel"/>
    <w:tmpl w:val="C2FAA6B8"/>
    <w:lvl w:ilvl="0" w:tplc="913AD714">
      <w:start w:val="1"/>
      <w:numFmt w:val="decimal"/>
      <w:lvlText w:val="%1"/>
      <w:lvlJc w:val="left"/>
      <w:pPr>
        <w:tabs>
          <w:tab w:val="num" w:pos="360"/>
        </w:tabs>
        <w:ind w:left="340" w:hanging="340"/>
      </w:pPr>
      <w:rPr>
        <w:rFonts w:hint="default"/>
      </w:rPr>
    </w:lvl>
    <w:lvl w:ilvl="1" w:tplc="D9BC8BB0">
      <w:start w:val="1"/>
      <w:numFmt w:val="bullet"/>
      <w:lvlText w:val=""/>
      <w:lvlJc w:val="left"/>
      <w:pPr>
        <w:tabs>
          <w:tab w:val="num" w:pos="700"/>
        </w:tabs>
        <w:ind w:left="680" w:hanging="340"/>
      </w:pPr>
      <w:rPr>
        <w:rFonts w:ascii="Symbol" w:hAnsi="Symbol" w:hint="default"/>
      </w:rPr>
    </w:lvl>
    <w:lvl w:ilvl="2" w:tplc="6E88F408" w:tentative="1">
      <w:start w:val="1"/>
      <w:numFmt w:val="lowerRoman"/>
      <w:lvlText w:val="%3."/>
      <w:lvlJc w:val="right"/>
      <w:pPr>
        <w:tabs>
          <w:tab w:val="num" w:pos="2160"/>
        </w:tabs>
        <w:ind w:left="2160" w:hanging="180"/>
      </w:pPr>
    </w:lvl>
    <w:lvl w:ilvl="3" w:tplc="5C0832E0" w:tentative="1">
      <w:start w:val="1"/>
      <w:numFmt w:val="decimal"/>
      <w:lvlText w:val="%4."/>
      <w:lvlJc w:val="left"/>
      <w:pPr>
        <w:tabs>
          <w:tab w:val="num" w:pos="2880"/>
        </w:tabs>
        <w:ind w:left="2880" w:hanging="360"/>
      </w:pPr>
    </w:lvl>
    <w:lvl w:ilvl="4" w:tplc="2F88DB12" w:tentative="1">
      <w:start w:val="1"/>
      <w:numFmt w:val="lowerLetter"/>
      <w:lvlText w:val="%5."/>
      <w:lvlJc w:val="left"/>
      <w:pPr>
        <w:tabs>
          <w:tab w:val="num" w:pos="3600"/>
        </w:tabs>
        <w:ind w:left="3600" w:hanging="360"/>
      </w:pPr>
    </w:lvl>
    <w:lvl w:ilvl="5" w:tplc="02D883D8" w:tentative="1">
      <w:start w:val="1"/>
      <w:numFmt w:val="lowerRoman"/>
      <w:lvlText w:val="%6."/>
      <w:lvlJc w:val="right"/>
      <w:pPr>
        <w:tabs>
          <w:tab w:val="num" w:pos="4320"/>
        </w:tabs>
        <w:ind w:left="4320" w:hanging="180"/>
      </w:pPr>
    </w:lvl>
    <w:lvl w:ilvl="6" w:tplc="8BE0B0AC" w:tentative="1">
      <w:start w:val="1"/>
      <w:numFmt w:val="decimal"/>
      <w:lvlText w:val="%7."/>
      <w:lvlJc w:val="left"/>
      <w:pPr>
        <w:tabs>
          <w:tab w:val="num" w:pos="5040"/>
        </w:tabs>
        <w:ind w:left="5040" w:hanging="360"/>
      </w:pPr>
    </w:lvl>
    <w:lvl w:ilvl="7" w:tplc="3D181C10" w:tentative="1">
      <w:start w:val="1"/>
      <w:numFmt w:val="lowerLetter"/>
      <w:lvlText w:val="%8."/>
      <w:lvlJc w:val="left"/>
      <w:pPr>
        <w:tabs>
          <w:tab w:val="num" w:pos="5760"/>
        </w:tabs>
        <w:ind w:left="5760" w:hanging="360"/>
      </w:pPr>
    </w:lvl>
    <w:lvl w:ilvl="8" w:tplc="FAFC3AA2" w:tentative="1">
      <w:start w:val="1"/>
      <w:numFmt w:val="lowerRoman"/>
      <w:lvlText w:val="%9."/>
      <w:lvlJc w:val="right"/>
      <w:pPr>
        <w:tabs>
          <w:tab w:val="num" w:pos="6480"/>
        </w:tabs>
        <w:ind w:left="6480" w:hanging="180"/>
      </w:pPr>
    </w:lvl>
  </w:abstractNum>
  <w:abstractNum w:abstractNumId="3" w15:restartNumberingAfterBreak="0">
    <w:nsid w:val="25626A21"/>
    <w:multiLevelType w:val="hybridMultilevel"/>
    <w:tmpl w:val="7DAA6160"/>
    <w:lvl w:ilvl="0" w:tplc="E69C89F2">
      <w:start w:val="1"/>
      <w:numFmt w:val="bullet"/>
      <w:lvlText w:val=""/>
      <w:lvlJc w:val="left"/>
      <w:pPr>
        <w:tabs>
          <w:tab w:val="num" w:pos="360"/>
        </w:tabs>
        <w:ind w:left="340" w:hanging="340"/>
      </w:pPr>
      <w:rPr>
        <w:rFonts w:ascii="Symbol" w:hAnsi="Symbol" w:hint="default"/>
      </w:rPr>
    </w:lvl>
    <w:lvl w:ilvl="1" w:tplc="827EB7F2" w:tentative="1">
      <w:start w:val="1"/>
      <w:numFmt w:val="bullet"/>
      <w:lvlText w:val="o"/>
      <w:lvlJc w:val="left"/>
      <w:pPr>
        <w:tabs>
          <w:tab w:val="num" w:pos="1440"/>
        </w:tabs>
        <w:ind w:left="1440" w:hanging="360"/>
      </w:pPr>
      <w:rPr>
        <w:rFonts w:ascii="Courier New" w:hAnsi="Courier New" w:hint="default"/>
      </w:rPr>
    </w:lvl>
    <w:lvl w:ilvl="2" w:tplc="39B07652" w:tentative="1">
      <w:start w:val="1"/>
      <w:numFmt w:val="bullet"/>
      <w:lvlText w:val=""/>
      <w:lvlJc w:val="left"/>
      <w:pPr>
        <w:tabs>
          <w:tab w:val="num" w:pos="2160"/>
        </w:tabs>
        <w:ind w:left="2160" w:hanging="360"/>
      </w:pPr>
      <w:rPr>
        <w:rFonts w:ascii="Wingdings" w:hAnsi="Wingdings" w:hint="default"/>
      </w:rPr>
    </w:lvl>
    <w:lvl w:ilvl="3" w:tplc="A230AFCE" w:tentative="1">
      <w:start w:val="1"/>
      <w:numFmt w:val="bullet"/>
      <w:lvlText w:val=""/>
      <w:lvlJc w:val="left"/>
      <w:pPr>
        <w:tabs>
          <w:tab w:val="num" w:pos="2880"/>
        </w:tabs>
        <w:ind w:left="2880" w:hanging="360"/>
      </w:pPr>
      <w:rPr>
        <w:rFonts w:ascii="Symbol" w:hAnsi="Symbol" w:hint="default"/>
      </w:rPr>
    </w:lvl>
    <w:lvl w:ilvl="4" w:tplc="F336FC04" w:tentative="1">
      <w:start w:val="1"/>
      <w:numFmt w:val="bullet"/>
      <w:lvlText w:val="o"/>
      <w:lvlJc w:val="left"/>
      <w:pPr>
        <w:tabs>
          <w:tab w:val="num" w:pos="3600"/>
        </w:tabs>
        <w:ind w:left="3600" w:hanging="360"/>
      </w:pPr>
      <w:rPr>
        <w:rFonts w:ascii="Courier New" w:hAnsi="Courier New" w:hint="default"/>
      </w:rPr>
    </w:lvl>
    <w:lvl w:ilvl="5" w:tplc="D450B69A" w:tentative="1">
      <w:start w:val="1"/>
      <w:numFmt w:val="bullet"/>
      <w:lvlText w:val=""/>
      <w:lvlJc w:val="left"/>
      <w:pPr>
        <w:tabs>
          <w:tab w:val="num" w:pos="4320"/>
        </w:tabs>
        <w:ind w:left="4320" w:hanging="360"/>
      </w:pPr>
      <w:rPr>
        <w:rFonts w:ascii="Wingdings" w:hAnsi="Wingdings" w:hint="default"/>
      </w:rPr>
    </w:lvl>
    <w:lvl w:ilvl="6" w:tplc="B7942300" w:tentative="1">
      <w:start w:val="1"/>
      <w:numFmt w:val="bullet"/>
      <w:lvlText w:val=""/>
      <w:lvlJc w:val="left"/>
      <w:pPr>
        <w:tabs>
          <w:tab w:val="num" w:pos="5040"/>
        </w:tabs>
        <w:ind w:left="5040" w:hanging="360"/>
      </w:pPr>
      <w:rPr>
        <w:rFonts w:ascii="Symbol" w:hAnsi="Symbol" w:hint="default"/>
      </w:rPr>
    </w:lvl>
    <w:lvl w:ilvl="7" w:tplc="190C3B72" w:tentative="1">
      <w:start w:val="1"/>
      <w:numFmt w:val="bullet"/>
      <w:lvlText w:val="o"/>
      <w:lvlJc w:val="left"/>
      <w:pPr>
        <w:tabs>
          <w:tab w:val="num" w:pos="5760"/>
        </w:tabs>
        <w:ind w:left="5760" w:hanging="360"/>
      </w:pPr>
      <w:rPr>
        <w:rFonts w:ascii="Courier New" w:hAnsi="Courier New" w:hint="default"/>
      </w:rPr>
    </w:lvl>
    <w:lvl w:ilvl="8" w:tplc="03C261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2326"/>
    <w:multiLevelType w:val="hybridMultilevel"/>
    <w:tmpl w:val="10EA3436"/>
    <w:lvl w:ilvl="0" w:tplc="C9CC1AF2">
      <w:start w:val="51"/>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2A6D"/>
    <w:multiLevelType w:val="hybridMultilevel"/>
    <w:tmpl w:val="A7142182"/>
    <w:lvl w:ilvl="0" w:tplc="FFFFFFFF">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FA5733"/>
    <w:multiLevelType w:val="hybridMultilevel"/>
    <w:tmpl w:val="1DE2C02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E4A15"/>
    <w:multiLevelType w:val="hybridMultilevel"/>
    <w:tmpl w:val="ABDC8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3D0540"/>
    <w:multiLevelType w:val="hybridMultilevel"/>
    <w:tmpl w:val="8174BCBC"/>
    <w:lvl w:ilvl="0" w:tplc="B4966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B7025"/>
    <w:multiLevelType w:val="hybridMultilevel"/>
    <w:tmpl w:val="147425E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50AE72FD"/>
    <w:multiLevelType w:val="hybridMultilevel"/>
    <w:tmpl w:val="FC7E3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9B6872"/>
    <w:multiLevelType w:val="hybridMultilevel"/>
    <w:tmpl w:val="4A842FB8"/>
    <w:lvl w:ilvl="0" w:tplc="FFFFFFFF">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7D54A5"/>
    <w:multiLevelType w:val="hybridMultilevel"/>
    <w:tmpl w:val="BE7AE19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710B136F"/>
    <w:multiLevelType w:val="hybridMultilevel"/>
    <w:tmpl w:val="6FBAD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5"/>
  </w:num>
  <w:num w:numId="7">
    <w:abstractNumId w:val="11"/>
  </w:num>
  <w:num w:numId="8">
    <w:abstractNumId w:val="10"/>
  </w:num>
  <w:num w:numId="9">
    <w:abstractNumId w:val="12"/>
  </w:num>
  <w:num w:numId="10">
    <w:abstractNumId w:val="13"/>
  </w:num>
  <w:num w:numId="11">
    <w:abstractNumId w:val="8"/>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B"/>
    <w:rsid w:val="00040B1A"/>
    <w:rsid w:val="000419C6"/>
    <w:rsid w:val="00062517"/>
    <w:rsid w:val="00066F26"/>
    <w:rsid w:val="0007072F"/>
    <w:rsid w:val="0007398D"/>
    <w:rsid w:val="00075483"/>
    <w:rsid w:val="00082E2E"/>
    <w:rsid w:val="000B63A8"/>
    <w:rsid w:val="000B7C5F"/>
    <w:rsid w:val="000C3440"/>
    <w:rsid w:val="000C4209"/>
    <w:rsid w:val="000E1755"/>
    <w:rsid w:val="00117AF2"/>
    <w:rsid w:val="00120920"/>
    <w:rsid w:val="00125EAC"/>
    <w:rsid w:val="0014131B"/>
    <w:rsid w:val="00141A72"/>
    <w:rsid w:val="00167456"/>
    <w:rsid w:val="0017312B"/>
    <w:rsid w:val="00174F42"/>
    <w:rsid w:val="00184890"/>
    <w:rsid w:val="001A1B1D"/>
    <w:rsid w:val="001A5902"/>
    <w:rsid w:val="001F4D1D"/>
    <w:rsid w:val="001F7A05"/>
    <w:rsid w:val="00241E25"/>
    <w:rsid w:val="002457EC"/>
    <w:rsid w:val="002501AE"/>
    <w:rsid w:val="00270B2C"/>
    <w:rsid w:val="00270D61"/>
    <w:rsid w:val="002745DB"/>
    <w:rsid w:val="0029479D"/>
    <w:rsid w:val="002A779D"/>
    <w:rsid w:val="002B2E56"/>
    <w:rsid w:val="002D7E14"/>
    <w:rsid w:val="002E4A99"/>
    <w:rsid w:val="002E6487"/>
    <w:rsid w:val="00314099"/>
    <w:rsid w:val="00320637"/>
    <w:rsid w:val="003218BF"/>
    <w:rsid w:val="003400A9"/>
    <w:rsid w:val="003557CC"/>
    <w:rsid w:val="00373381"/>
    <w:rsid w:val="003967ED"/>
    <w:rsid w:val="003A253D"/>
    <w:rsid w:val="003C0A8B"/>
    <w:rsid w:val="003E6978"/>
    <w:rsid w:val="00416326"/>
    <w:rsid w:val="004500F0"/>
    <w:rsid w:val="0045777F"/>
    <w:rsid w:val="00472CD0"/>
    <w:rsid w:val="004B09FC"/>
    <w:rsid w:val="004D20C4"/>
    <w:rsid w:val="00506273"/>
    <w:rsid w:val="005073B2"/>
    <w:rsid w:val="0051378F"/>
    <w:rsid w:val="005403CC"/>
    <w:rsid w:val="005565C2"/>
    <w:rsid w:val="00561424"/>
    <w:rsid w:val="00573DB5"/>
    <w:rsid w:val="00575043"/>
    <w:rsid w:val="00586542"/>
    <w:rsid w:val="00597080"/>
    <w:rsid w:val="005A7394"/>
    <w:rsid w:val="005B60BF"/>
    <w:rsid w:val="005C6C7F"/>
    <w:rsid w:val="005E1299"/>
    <w:rsid w:val="006014CB"/>
    <w:rsid w:val="00613FD7"/>
    <w:rsid w:val="00621544"/>
    <w:rsid w:val="00625C10"/>
    <w:rsid w:val="00627D1C"/>
    <w:rsid w:val="00632CFB"/>
    <w:rsid w:val="00655033"/>
    <w:rsid w:val="006566EB"/>
    <w:rsid w:val="00663AF3"/>
    <w:rsid w:val="0067625E"/>
    <w:rsid w:val="00686492"/>
    <w:rsid w:val="006A11D7"/>
    <w:rsid w:val="006A2BE7"/>
    <w:rsid w:val="006B59D6"/>
    <w:rsid w:val="006C5FE5"/>
    <w:rsid w:val="006D1E80"/>
    <w:rsid w:val="006E6A0F"/>
    <w:rsid w:val="006E6C7C"/>
    <w:rsid w:val="006E704E"/>
    <w:rsid w:val="006F5BCB"/>
    <w:rsid w:val="00700579"/>
    <w:rsid w:val="0078128F"/>
    <w:rsid w:val="007930ED"/>
    <w:rsid w:val="007A07FD"/>
    <w:rsid w:val="007B6CD6"/>
    <w:rsid w:val="007C39C7"/>
    <w:rsid w:val="007C55ED"/>
    <w:rsid w:val="007D10DB"/>
    <w:rsid w:val="007E4CBB"/>
    <w:rsid w:val="007F533A"/>
    <w:rsid w:val="00807091"/>
    <w:rsid w:val="00807522"/>
    <w:rsid w:val="008136F0"/>
    <w:rsid w:val="00824C83"/>
    <w:rsid w:val="00831747"/>
    <w:rsid w:val="008411FE"/>
    <w:rsid w:val="00845D5E"/>
    <w:rsid w:val="008504CA"/>
    <w:rsid w:val="00852C97"/>
    <w:rsid w:val="00853EE4"/>
    <w:rsid w:val="0085572F"/>
    <w:rsid w:val="0086059D"/>
    <w:rsid w:val="00861186"/>
    <w:rsid w:val="00877F43"/>
    <w:rsid w:val="00885AFE"/>
    <w:rsid w:val="0089432F"/>
    <w:rsid w:val="008A0344"/>
    <w:rsid w:val="008B0891"/>
    <w:rsid w:val="008B0962"/>
    <w:rsid w:val="008E72C9"/>
    <w:rsid w:val="008F2797"/>
    <w:rsid w:val="00900810"/>
    <w:rsid w:val="009034B6"/>
    <w:rsid w:val="00905F75"/>
    <w:rsid w:val="00906CD3"/>
    <w:rsid w:val="009111F6"/>
    <w:rsid w:val="00945CD5"/>
    <w:rsid w:val="00973267"/>
    <w:rsid w:val="00984891"/>
    <w:rsid w:val="009C7213"/>
    <w:rsid w:val="009E2C7E"/>
    <w:rsid w:val="009E4CE5"/>
    <w:rsid w:val="009F14F0"/>
    <w:rsid w:val="00A05DD3"/>
    <w:rsid w:val="00A36A06"/>
    <w:rsid w:val="00A44ED9"/>
    <w:rsid w:val="00A60834"/>
    <w:rsid w:val="00A8084C"/>
    <w:rsid w:val="00A818EC"/>
    <w:rsid w:val="00A81E80"/>
    <w:rsid w:val="00A8470E"/>
    <w:rsid w:val="00AA19C7"/>
    <w:rsid w:val="00AB2ADE"/>
    <w:rsid w:val="00AC7B0A"/>
    <w:rsid w:val="00B10FAF"/>
    <w:rsid w:val="00B33107"/>
    <w:rsid w:val="00B3648A"/>
    <w:rsid w:val="00B453CB"/>
    <w:rsid w:val="00B56B13"/>
    <w:rsid w:val="00B813B6"/>
    <w:rsid w:val="00B82309"/>
    <w:rsid w:val="00B879BF"/>
    <w:rsid w:val="00BB3AA0"/>
    <w:rsid w:val="00C11046"/>
    <w:rsid w:val="00C21A5F"/>
    <w:rsid w:val="00C21AE6"/>
    <w:rsid w:val="00C22787"/>
    <w:rsid w:val="00C2574C"/>
    <w:rsid w:val="00C4757B"/>
    <w:rsid w:val="00C50B68"/>
    <w:rsid w:val="00C52786"/>
    <w:rsid w:val="00C52931"/>
    <w:rsid w:val="00C5354B"/>
    <w:rsid w:val="00C569B8"/>
    <w:rsid w:val="00C72D3F"/>
    <w:rsid w:val="00C872FF"/>
    <w:rsid w:val="00CA5A69"/>
    <w:rsid w:val="00CB3B1B"/>
    <w:rsid w:val="00CC2380"/>
    <w:rsid w:val="00CD408F"/>
    <w:rsid w:val="00CE1825"/>
    <w:rsid w:val="00D06888"/>
    <w:rsid w:val="00D14C71"/>
    <w:rsid w:val="00D22A74"/>
    <w:rsid w:val="00D338EF"/>
    <w:rsid w:val="00D40E80"/>
    <w:rsid w:val="00D44776"/>
    <w:rsid w:val="00D50B21"/>
    <w:rsid w:val="00D5279F"/>
    <w:rsid w:val="00D5719E"/>
    <w:rsid w:val="00D60664"/>
    <w:rsid w:val="00D679D8"/>
    <w:rsid w:val="00D754F1"/>
    <w:rsid w:val="00DA65B8"/>
    <w:rsid w:val="00DA775D"/>
    <w:rsid w:val="00DB407B"/>
    <w:rsid w:val="00DC21F0"/>
    <w:rsid w:val="00DD0844"/>
    <w:rsid w:val="00DD319A"/>
    <w:rsid w:val="00DD3ABB"/>
    <w:rsid w:val="00DD7DFE"/>
    <w:rsid w:val="00DF1A3B"/>
    <w:rsid w:val="00E14423"/>
    <w:rsid w:val="00E23BC4"/>
    <w:rsid w:val="00E23E3E"/>
    <w:rsid w:val="00E323CB"/>
    <w:rsid w:val="00E4513C"/>
    <w:rsid w:val="00E62187"/>
    <w:rsid w:val="00E72A8B"/>
    <w:rsid w:val="00E73370"/>
    <w:rsid w:val="00E77912"/>
    <w:rsid w:val="00E80C2F"/>
    <w:rsid w:val="00E927DD"/>
    <w:rsid w:val="00E94D50"/>
    <w:rsid w:val="00EA5C77"/>
    <w:rsid w:val="00EB641F"/>
    <w:rsid w:val="00EC3DA7"/>
    <w:rsid w:val="00ED6473"/>
    <w:rsid w:val="00EE48A3"/>
    <w:rsid w:val="00F1497C"/>
    <w:rsid w:val="00F240FC"/>
    <w:rsid w:val="00F26A37"/>
    <w:rsid w:val="00F35675"/>
    <w:rsid w:val="00F40391"/>
    <w:rsid w:val="00F419B9"/>
    <w:rsid w:val="00F434ED"/>
    <w:rsid w:val="00F6016C"/>
    <w:rsid w:val="00F6195D"/>
    <w:rsid w:val="00F62798"/>
    <w:rsid w:val="00F64C63"/>
    <w:rsid w:val="00F76798"/>
    <w:rsid w:val="00F81AF6"/>
    <w:rsid w:val="00F86A19"/>
    <w:rsid w:val="00FD6874"/>
    <w:rsid w:val="00FE5FF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C9565"/>
  <w15:docId w15:val="{52B35D41-36C8-46B0-80D5-4941FAD0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186"/>
    <w:rPr>
      <w:sz w:val="24"/>
      <w:szCs w:val="24"/>
    </w:rPr>
  </w:style>
  <w:style w:type="paragraph" w:styleId="Heading2">
    <w:name w:val="heading 2"/>
    <w:basedOn w:val="Normal"/>
    <w:next w:val="Normal"/>
    <w:qFormat/>
    <w:rsid w:val="0086118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BB"/>
    <w:rPr>
      <w:rFonts w:ascii="Tahoma" w:hAnsi="Tahoma" w:cs="Tahoma"/>
      <w:sz w:val="16"/>
      <w:szCs w:val="16"/>
    </w:rPr>
  </w:style>
  <w:style w:type="character" w:customStyle="1" w:styleId="BalloonTextChar">
    <w:name w:val="Balloon Text Char"/>
    <w:basedOn w:val="DefaultParagraphFont"/>
    <w:link w:val="BalloonText"/>
    <w:uiPriority w:val="99"/>
    <w:semiHidden/>
    <w:rsid w:val="007E4CBB"/>
    <w:rPr>
      <w:rFonts w:ascii="Tahoma" w:hAnsi="Tahoma" w:cs="Tahoma"/>
      <w:sz w:val="16"/>
      <w:szCs w:val="16"/>
    </w:rPr>
  </w:style>
  <w:style w:type="character" w:styleId="CommentReference">
    <w:name w:val="annotation reference"/>
    <w:basedOn w:val="DefaultParagraphFont"/>
    <w:uiPriority w:val="99"/>
    <w:semiHidden/>
    <w:unhideWhenUsed/>
    <w:rsid w:val="00B3648A"/>
    <w:rPr>
      <w:sz w:val="16"/>
      <w:szCs w:val="16"/>
    </w:rPr>
  </w:style>
  <w:style w:type="paragraph" w:styleId="CommentText">
    <w:name w:val="annotation text"/>
    <w:basedOn w:val="Normal"/>
    <w:link w:val="CommentTextChar"/>
    <w:uiPriority w:val="99"/>
    <w:semiHidden/>
    <w:unhideWhenUsed/>
    <w:rsid w:val="00B3648A"/>
    <w:rPr>
      <w:sz w:val="20"/>
      <w:szCs w:val="20"/>
    </w:rPr>
  </w:style>
  <w:style w:type="character" w:customStyle="1" w:styleId="CommentTextChar">
    <w:name w:val="Comment Text Char"/>
    <w:basedOn w:val="DefaultParagraphFont"/>
    <w:link w:val="CommentText"/>
    <w:uiPriority w:val="99"/>
    <w:semiHidden/>
    <w:rsid w:val="00B3648A"/>
  </w:style>
  <w:style w:type="paragraph" w:styleId="CommentSubject">
    <w:name w:val="annotation subject"/>
    <w:basedOn w:val="CommentText"/>
    <w:next w:val="CommentText"/>
    <w:link w:val="CommentSubjectChar"/>
    <w:uiPriority w:val="99"/>
    <w:semiHidden/>
    <w:unhideWhenUsed/>
    <w:rsid w:val="00B3648A"/>
    <w:rPr>
      <w:b/>
      <w:bCs/>
    </w:rPr>
  </w:style>
  <w:style w:type="character" w:customStyle="1" w:styleId="CommentSubjectChar">
    <w:name w:val="Comment Subject Char"/>
    <w:basedOn w:val="CommentTextChar"/>
    <w:link w:val="CommentSubject"/>
    <w:uiPriority w:val="99"/>
    <w:semiHidden/>
    <w:rsid w:val="00B3648A"/>
    <w:rPr>
      <w:b/>
      <w:bCs/>
    </w:rPr>
  </w:style>
  <w:style w:type="paragraph" w:styleId="Revision">
    <w:name w:val="Revision"/>
    <w:hidden/>
    <w:uiPriority w:val="99"/>
    <w:semiHidden/>
    <w:rsid w:val="000E1755"/>
    <w:rPr>
      <w:sz w:val="24"/>
      <w:szCs w:val="24"/>
    </w:rPr>
  </w:style>
  <w:style w:type="paragraph" w:styleId="Header">
    <w:name w:val="header"/>
    <w:basedOn w:val="Normal"/>
    <w:link w:val="HeaderChar"/>
    <w:uiPriority w:val="99"/>
    <w:unhideWhenUsed/>
    <w:rsid w:val="00905F75"/>
    <w:pPr>
      <w:tabs>
        <w:tab w:val="center" w:pos="4536"/>
        <w:tab w:val="right" w:pos="9072"/>
      </w:tabs>
    </w:pPr>
  </w:style>
  <w:style w:type="character" w:customStyle="1" w:styleId="HeaderChar">
    <w:name w:val="Header Char"/>
    <w:basedOn w:val="DefaultParagraphFont"/>
    <w:link w:val="Header"/>
    <w:uiPriority w:val="99"/>
    <w:rsid w:val="00905F75"/>
    <w:rPr>
      <w:sz w:val="24"/>
      <w:szCs w:val="24"/>
    </w:rPr>
  </w:style>
  <w:style w:type="paragraph" w:styleId="Footer">
    <w:name w:val="footer"/>
    <w:basedOn w:val="Normal"/>
    <w:link w:val="FooterChar"/>
    <w:uiPriority w:val="99"/>
    <w:unhideWhenUsed/>
    <w:rsid w:val="00905F75"/>
    <w:pPr>
      <w:tabs>
        <w:tab w:val="center" w:pos="4536"/>
        <w:tab w:val="right" w:pos="9072"/>
      </w:tabs>
    </w:pPr>
  </w:style>
  <w:style w:type="character" w:customStyle="1" w:styleId="FooterChar">
    <w:name w:val="Footer Char"/>
    <w:basedOn w:val="DefaultParagraphFont"/>
    <w:link w:val="Footer"/>
    <w:uiPriority w:val="99"/>
    <w:rsid w:val="00905F75"/>
    <w:rPr>
      <w:sz w:val="24"/>
      <w:szCs w:val="24"/>
    </w:rPr>
  </w:style>
  <w:style w:type="paragraph" w:styleId="ListParagraph">
    <w:name w:val="List Paragraph"/>
    <w:basedOn w:val="Normal"/>
    <w:uiPriority w:val="34"/>
    <w:qFormat/>
    <w:rsid w:val="002E6487"/>
    <w:pPr>
      <w:ind w:left="720"/>
      <w:contextualSpacing/>
    </w:pPr>
  </w:style>
  <w:style w:type="character" w:styleId="Hyperlink">
    <w:name w:val="Hyperlink"/>
    <w:basedOn w:val="DefaultParagraphFont"/>
    <w:uiPriority w:val="99"/>
    <w:unhideWhenUsed/>
    <w:rsid w:val="002457EC"/>
    <w:rPr>
      <w:color w:val="0000FF" w:themeColor="hyperlink"/>
      <w:u w:val="single"/>
    </w:rPr>
  </w:style>
  <w:style w:type="paragraph" w:customStyle="1" w:styleId="Default">
    <w:name w:val="Default"/>
    <w:rsid w:val="00B453CB"/>
    <w:pPr>
      <w:autoSpaceDE w:val="0"/>
      <w:autoSpaceDN w:val="0"/>
      <w:adjustRightInd w:val="0"/>
    </w:pPr>
    <w:rPr>
      <w:color w:val="000000"/>
      <w:sz w:val="24"/>
      <w:szCs w:val="24"/>
      <w:lang w:val="en-US"/>
    </w:rPr>
  </w:style>
  <w:style w:type="paragraph" w:styleId="EndnoteText">
    <w:name w:val="endnote text"/>
    <w:basedOn w:val="Normal"/>
    <w:link w:val="EndnoteTextChar"/>
    <w:uiPriority w:val="99"/>
    <w:unhideWhenUsed/>
    <w:rsid w:val="00B453CB"/>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B453CB"/>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B453CB"/>
    <w:rPr>
      <w:vertAlign w:val="superscript"/>
    </w:rPr>
  </w:style>
  <w:style w:type="paragraph" w:styleId="NormalWeb">
    <w:name w:val="Normal (Web)"/>
    <w:basedOn w:val="Normal"/>
    <w:uiPriority w:val="99"/>
    <w:unhideWhenUsed/>
    <w:rsid w:val="00F86A19"/>
  </w:style>
  <w:style w:type="table" w:styleId="TableGrid">
    <w:name w:val="Table Grid"/>
    <w:basedOn w:val="TableNormal"/>
    <w:rsid w:val="007C39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A69"/>
    <w:rPr>
      <w:sz w:val="20"/>
      <w:szCs w:val="20"/>
    </w:rPr>
  </w:style>
  <w:style w:type="character" w:customStyle="1" w:styleId="FootnoteTextChar">
    <w:name w:val="Footnote Text Char"/>
    <w:basedOn w:val="DefaultParagraphFont"/>
    <w:link w:val="FootnoteText"/>
    <w:uiPriority w:val="99"/>
    <w:semiHidden/>
    <w:rsid w:val="00CA5A69"/>
  </w:style>
  <w:style w:type="character" w:styleId="FootnoteReference">
    <w:name w:val="footnote reference"/>
    <w:basedOn w:val="DefaultParagraphFont"/>
    <w:uiPriority w:val="99"/>
    <w:semiHidden/>
    <w:unhideWhenUsed/>
    <w:rsid w:val="00CA5A69"/>
    <w:rPr>
      <w:vertAlign w:val="superscript"/>
    </w:rPr>
  </w:style>
  <w:style w:type="character" w:styleId="FollowedHyperlink">
    <w:name w:val="FollowedHyperlink"/>
    <w:basedOn w:val="DefaultParagraphFont"/>
    <w:uiPriority w:val="99"/>
    <w:semiHidden/>
    <w:unhideWhenUsed/>
    <w:rsid w:val="00274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5805">
      <w:bodyDiv w:val="1"/>
      <w:marLeft w:val="0"/>
      <w:marRight w:val="0"/>
      <w:marTop w:val="0"/>
      <w:marBottom w:val="0"/>
      <w:divBdr>
        <w:top w:val="none" w:sz="0" w:space="0" w:color="auto"/>
        <w:left w:val="none" w:sz="0" w:space="0" w:color="auto"/>
        <w:bottom w:val="none" w:sz="0" w:space="0" w:color="auto"/>
        <w:right w:val="none" w:sz="0" w:space="0" w:color="auto"/>
      </w:divBdr>
    </w:div>
    <w:div w:id="242566213">
      <w:bodyDiv w:val="1"/>
      <w:marLeft w:val="0"/>
      <w:marRight w:val="0"/>
      <w:marTop w:val="0"/>
      <w:marBottom w:val="0"/>
      <w:divBdr>
        <w:top w:val="none" w:sz="0" w:space="0" w:color="auto"/>
        <w:left w:val="none" w:sz="0" w:space="0" w:color="auto"/>
        <w:bottom w:val="none" w:sz="0" w:space="0" w:color="auto"/>
        <w:right w:val="none" w:sz="0" w:space="0" w:color="auto"/>
      </w:divBdr>
    </w:div>
    <w:div w:id="392240042">
      <w:bodyDiv w:val="1"/>
      <w:marLeft w:val="0"/>
      <w:marRight w:val="0"/>
      <w:marTop w:val="0"/>
      <w:marBottom w:val="0"/>
      <w:divBdr>
        <w:top w:val="none" w:sz="0" w:space="0" w:color="auto"/>
        <w:left w:val="none" w:sz="0" w:space="0" w:color="auto"/>
        <w:bottom w:val="none" w:sz="0" w:space="0" w:color="auto"/>
        <w:right w:val="none" w:sz="0" w:space="0" w:color="auto"/>
      </w:divBdr>
    </w:div>
    <w:div w:id="715280984">
      <w:bodyDiv w:val="1"/>
      <w:marLeft w:val="0"/>
      <w:marRight w:val="0"/>
      <w:marTop w:val="0"/>
      <w:marBottom w:val="0"/>
      <w:divBdr>
        <w:top w:val="none" w:sz="0" w:space="0" w:color="auto"/>
        <w:left w:val="none" w:sz="0" w:space="0" w:color="auto"/>
        <w:bottom w:val="none" w:sz="0" w:space="0" w:color="auto"/>
        <w:right w:val="none" w:sz="0" w:space="0" w:color="auto"/>
      </w:divBdr>
    </w:div>
    <w:div w:id="1328291402">
      <w:bodyDiv w:val="1"/>
      <w:marLeft w:val="0"/>
      <w:marRight w:val="0"/>
      <w:marTop w:val="0"/>
      <w:marBottom w:val="0"/>
      <w:divBdr>
        <w:top w:val="none" w:sz="0" w:space="0" w:color="auto"/>
        <w:left w:val="none" w:sz="0" w:space="0" w:color="auto"/>
        <w:bottom w:val="none" w:sz="0" w:space="0" w:color="auto"/>
        <w:right w:val="none" w:sz="0" w:space="0" w:color="auto"/>
      </w:divBdr>
    </w:div>
    <w:div w:id="1584415358">
      <w:bodyDiv w:val="1"/>
      <w:marLeft w:val="0"/>
      <w:marRight w:val="0"/>
      <w:marTop w:val="0"/>
      <w:marBottom w:val="0"/>
      <w:divBdr>
        <w:top w:val="none" w:sz="0" w:space="0" w:color="auto"/>
        <w:left w:val="none" w:sz="0" w:space="0" w:color="auto"/>
        <w:bottom w:val="none" w:sz="0" w:space="0" w:color="auto"/>
        <w:right w:val="none" w:sz="0" w:space="0" w:color="auto"/>
      </w:divBdr>
    </w:div>
    <w:div w:id="1680499685">
      <w:bodyDiv w:val="1"/>
      <w:marLeft w:val="0"/>
      <w:marRight w:val="0"/>
      <w:marTop w:val="0"/>
      <w:marBottom w:val="0"/>
      <w:divBdr>
        <w:top w:val="none" w:sz="0" w:space="0" w:color="auto"/>
        <w:left w:val="none" w:sz="0" w:space="0" w:color="auto"/>
        <w:bottom w:val="none" w:sz="0" w:space="0" w:color="auto"/>
        <w:right w:val="none" w:sz="0" w:space="0" w:color="auto"/>
      </w:divBdr>
    </w:div>
    <w:div w:id="17796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reb.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nssen.com/neder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nssen.com/nederlan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ECC9-CE9B-4045-A9CB-CAA91CA5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2312</Words>
  <Characters>14817</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PROCEDURE AANVRAAG NIEUWE GENEESMIDDELEN</vt:lpstr>
      <vt:lpstr>PROCEDURE AANVRAAG NIEUWE GENEESMIDDELEN </vt:lpstr>
    </vt:vector>
  </TitlesOfParts>
  <Company>ICT Beheer</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AANVRAAG NIEUWE GENEESMIDDELEN</dc:title>
  <dc:creator>gkortum</dc:creator>
  <cp:lastModifiedBy>Nievaart, Max [JACNL]</cp:lastModifiedBy>
  <cp:revision>5</cp:revision>
  <cp:lastPrinted>2014-10-21T14:52:00Z</cp:lastPrinted>
  <dcterms:created xsi:type="dcterms:W3CDTF">2017-07-04T11:43:00Z</dcterms:created>
  <dcterms:modified xsi:type="dcterms:W3CDTF">2017-09-07T09:04:00Z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