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rPr/>
      </w:pPr>
      <w:r>
        <w:rPr/>
        <w:t>Individual platelet range relatively narrow; delta &gt;100 bij &lt;0.1%: 50% afname kan nog normaal zijn</w:t>
      </w:r>
    </w:p>
    <w:p>
      <w:pPr>
        <w:pStyle w:val="Normal"/>
        <w:numPr>
          <w:ilvl w:val="0"/>
          <w:numId w:val="1"/>
        </w:numPr>
        <w:rPr/>
      </w:pPr>
      <w:r>
        <w:rPr/>
      </w:r>
    </w:p>
    <w:p>
      <w:pPr>
        <w:pStyle w:val="Normal"/>
        <w:numPr>
          <w:ilvl w:val="0"/>
          <w:numId w:val="1"/>
        </w:numPr>
        <w:rPr/>
      </w:pPr>
      <w:r>
        <w:rPr/>
        <w:t xml:space="preserve">Risico bloeding, </w:t>
      </w:r>
      <w:r>
        <w:rPr/>
        <w:t xml:space="preserve">afhankelijk van </w:t>
      </w:r>
    </w:p>
    <w:p>
      <w:pPr>
        <w:pStyle w:val="Normal"/>
        <w:numPr>
          <w:ilvl w:val="0"/>
          <w:numId w:val="1"/>
        </w:numPr>
        <w:rPr/>
      </w:pPr>
      <w:r>
        <w:rPr/>
        <w:t xml:space="preserve">– </w:t>
      </w:r>
      <w:r>
        <w:rPr/>
        <w:t xml:space="preserve">ziekte </w:t>
      </w:r>
      <w:r>
        <w:rPr/>
        <w:t>(</w:t>
      </w:r>
      <w:r>
        <w:rPr/>
        <w:t>minder bij ITP bij zelfde trombocytengetal</w:t>
      </w:r>
      <w:r>
        <w:rPr/>
        <w:t>)</w:t>
      </w:r>
    </w:p>
    <w:p>
      <w:pPr>
        <w:pStyle w:val="Normal"/>
        <w:numPr>
          <w:ilvl w:val="0"/>
          <w:numId w:val="1"/>
        </w:numPr>
        <w:rPr/>
      </w:pPr>
      <w:r>
        <w:rPr/>
        <w:t xml:space="preserve">– </w:t>
      </w:r>
      <w:r>
        <w:rPr/>
        <w:t>hoogte trombocyten, spontane bloeding pas &lt;20 en meestal pas &lt;10</w:t>
      </w:r>
    </w:p>
    <w:p>
      <w:pPr>
        <w:pStyle w:val="Normal"/>
        <w:numPr>
          <w:ilvl w:val="0"/>
          <w:numId w:val="1"/>
        </w:numPr>
        <w:rPr/>
      </w:pPr>
      <w:r>
        <w:rPr/>
        <w:t xml:space="preserve">– </w:t>
      </w:r>
      <w:r>
        <w:rPr/>
        <w:t>plaatjesfunctie (Bernard-Soulier, MDS)</w:t>
      </w:r>
    </w:p>
    <w:p>
      <w:pPr>
        <w:pStyle w:val="Normal"/>
        <w:numPr>
          <w:ilvl w:val="0"/>
          <w:numId w:val="1"/>
        </w:numPr>
        <w:rPr/>
      </w:pPr>
      <w:r>
        <w:rPr/>
        <w:t xml:space="preserve">– </w:t>
      </w:r>
      <w:r>
        <w:rPr/>
        <w:t>plasmatische stollingsziekte (leverziekte, DIS)</w:t>
      </w:r>
    </w:p>
    <w:p>
      <w:pPr>
        <w:pStyle w:val="Normal"/>
        <w:numPr>
          <w:ilvl w:val="0"/>
          <w:numId w:val="1"/>
        </w:numPr>
        <w:rPr/>
      </w:pPr>
      <w:r>
        <w:rPr/>
        <w:t xml:space="preserve">– </w:t>
      </w:r>
      <w:r>
        <w:rPr/>
        <w:t>invasieve ingreep, dan risico op bloeding indien &lt;50 (hoog-risico als neuro-chirurgie, cardiale of orthopedische chirurgie)</w:t>
      </w:r>
    </w:p>
    <w:p>
      <w:pPr>
        <w:pStyle w:val="Normal"/>
        <w:numPr>
          <w:ilvl w:val="0"/>
          <w:numId w:val="1"/>
        </w:numPr>
        <w:rPr/>
      </w:pPr>
      <w:r>
        <w:rPr/>
        <w:t xml:space="preserve">– </w:t>
      </w:r>
      <w:r>
        <w:rPr/>
        <w:t>redistributie bij splenomegalie (ernstige bloeding en TR &gt;60 past hier niet bij)</w:t>
      </w:r>
    </w:p>
    <w:p>
      <w:pPr>
        <w:pStyle w:val="Normal"/>
        <w:numPr>
          <w:ilvl w:val="0"/>
          <w:numId w:val="1"/>
        </w:numPr>
        <w:rPr/>
      </w:pPr>
      <w:r>
        <w:rPr/>
        <w:t xml:space="preserve">– </w:t>
      </w:r>
      <w:r>
        <w:rPr/>
        <w:t>natte purpura risico</w:t>
      </w:r>
    </w:p>
    <w:p>
      <w:pPr>
        <w:pStyle w:val="Normal"/>
        <w:numPr>
          <w:ilvl w:val="0"/>
          <w:numId w:val="1"/>
        </w:numPr>
        <w:rPr/>
      </w:pPr>
      <w:r>
        <w:rPr/>
      </w:r>
    </w:p>
    <w:p>
      <w:pPr>
        <w:pStyle w:val="Normal"/>
        <w:numPr>
          <w:ilvl w:val="0"/>
          <w:numId w:val="1"/>
        </w:numPr>
        <w:rPr/>
      </w:pPr>
      <w:r>
        <w:rPr/>
        <w:t>numerous herbal preparations [</w:t>
      </w:r>
      <w:hyperlink r:id="rId2">
        <w:r>
          <w:rPr/>
          <w:t>25,26</w:t>
        </w:r>
      </w:hyperlink>
      <w:r>
        <w:rPr/>
        <w:t>], foods [</w:t>
      </w:r>
      <w:hyperlink r:id="rId3">
        <w:r>
          <w:rPr/>
          <w:t>27,28</w:t>
        </w:r>
      </w:hyperlink>
      <w:r>
        <w:rPr/>
        <w:t>], and over-the-counter medicines</w:t>
      </w:r>
    </w:p>
    <w:p>
      <w:pPr>
        <w:pStyle w:val="Normal"/>
        <w:rPr/>
      </w:pPr>
      <w:r>
        <w:rPr/>
      </w:r>
    </w:p>
    <w:p>
      <w:pPr>
        <w:pStyle w:val="Normal"/>
        <w:numPr>
          <w:ilvl w:val="0"/>
          <w:numId w:val="1"/>
        </w:numPr>
        <w:rPr/>
      </w:pPr>
      <w:r>
        <w:rPr/>
        <w:t xml:space="preserve">vascular conditions associated with platelet destruction (eg, giant capillary hemangioma, large aortic aneurysms, cardiopulmonary bypass, intraaortic balloon pumps) </w:t>
      </w:r>
    </w:p>
    <w:p>
      <w:pPr>
        <w:pStyle w:val="Normal"/>
        <w:numPr>
          <w:ilvl w:val="0"/>
          <w:numId w:val="1"/>
        </w:numPr>
        <w:rPr/>
      </w:pPr>
      <w:r>
        <w:rPr/>
      </w:r>
    </w:p>
    <w:p>
      <w:pPr>
        <w:pStyle w:val="Normal"/>
        <w:numPr>
          <w:ilvl w:val="0"/>
          <w:numId w:val="1"/>
        </w:numPr>
        <w:rPr/>
      </w:pPr>
      <w:r>
        <w:rPr/>
        <w:t>Asymptomatic: ITP, leverziekte, HIV, MDS congenitaal</w:t>
      </w:r>
    </w:p>
    <w:p>
      <w:pPr>
        <w:pStyle w:val="Normal"/>
        <w:numPr>
          <w:ilvl w:val="0"/>
          <w:numId w:val="1"/>
        </w:numPr>
        <w:rPr/>
      </w:pPr>
      <w:r>
        <w:rPr/>
        <w:t xml:space="preserve">• </w:t>
      </w:r>
      <w:r>
        <w:rPr/>
        <w:t>bloeding maar niet ziek: medicatie, ITP</w:t>
      </w:r>
    </w:p>
    <w:p>
      <w:pPr>
        <w:pStyle w:val="Normal"/>
        <w:numPr>
          <w:ilvl w:val="0"/>
          <w:numId w:val="1"/>
        </w:numPr>
        <w:rPr/>
      </w:pPr>
      <w:r>
        <w:rPr/>
        <w:t xml:space="preserve">• </w:t>
      </w:r>
      <w:r>
        <w:rPr/>
        <w:t>neurologic findings – TMA, B12, koper</w:t>
      </w:r>
    </w:p>
    <w:p>
      <w:pPr>
        <w:pStyle w:val="Normal"/>
        <w:numPr>
          <w:ilvl w:val="0"/>
          <w:numId w:val="1"/>
        </w:numPr>
        <w:rPr/>
      </w:pPr>
      <w:r>
        <w:rPr/>
      </w:r>
    </w:p>
    <w:p>
      <w:pPr>
        <w:pStyle w:val="Normal"/>
        <w:numPr>
          <w:ilvl w:val="0"/>
          <w:numId w:val="1"/>
        </w:numPr>
        <w:rPr/>
      </w:pPr>
      <w:r>
        <w:rPr/>
        <w:t>veelvoorkomende bij zieke patienten</w:t>
      </w:r>
    </w:p>
    <w:p>
      <w:pPr>
        <w:pStyle w:val="Normal"/>
        <w:numPr>
          <w:ilvl w:val="0"/>
          <w:numId w:val="1"/>
        </w:numPr>
        <w:rPr/>
      </w:pPr>
      <w:r>
        <w:rPr/>
        <w:t>wisselt per studie, gemiddeld 30%</w:t>
      </w:r>
    </w:p>
    <w:p>
      <w:pPr>
        <w:pStyle w:val="Normal"/>
        <w:numPr>
          <w:ilvl w:val="0"/>
          <w:numId w:val="1"/>
        </w:numPr>
        <w:rPr/>
      </w:pPr>
      <w:r>
        <w:rPr>
          <w:b/>
          <w:bCs/>
        </w:rPr>
        <w:t>IC</w:t>
      </w:r>
    </w:p>
    <w:p>
      <w:pPr>
        <w:pStyle w:val="Normal"/>
        <w:numPr>
          <w:ilvl w:val="0"/>
          <w:numId w:val="1"/>
        </w:numPr>
        <w:rPr/>
      </w:pPr>
      <w:r>
        <w:rPr/>
        <w:t>35% sepsis/infectie/DIS</w:t>
      </w:r>
    </w:p>
    <w:p>
      <w:pPr>
        <w:pStyle w:val="Normal"/>
        <w:numPr>
          <w:ilvl w:val="0"/>
          <w:numId w:val="1"/>
        </w:numPr>
        <w:rPr/>
      </w:pPr>
      <w:r>
        <w:rPr/>
        <w:t>10% leverziekte / hypersplenisme</w:t>
      </w:r>
    </w:p>
    <w:p>
      <w:pPr>
        <w:pStyle w:val="Normal"/>
        <w:numPr>
          <w:ilvl w:val="0"/>
          <w:numId w:val="1"/>
        </w:numPr>
        <w:rPr/>
      </w:pPr>
      <w:r>
        <w:rPr/>
        <w:t>5% hematologische ziekte</w:t>
      </w:r>
    </w:p>
    <w:p>
      <w:pPr>
        <w:pStyle w:val="Normal"/>
        <w:numPr>
          <w:ilvl w:val="0"/>
          <w:numId w:val="1"/>
        </w:numPr>
        <w:rPr/>
      </w:pPr>
      <w:r>
        <w:rPr/>
        <w:t>5% medicatie</w:t>
      </w:r>
    </w:p>
    <w:p>
      <w:pPr>
        <w:pStyle w:val="Normal"/>
        <w:numPr>
          <w:ilvl w:val="0"/>
          <w:numId w:val="1"/>
        </w:numPr>
        <w:rPr/>
      </w:pPr>
      <w:r>
        <w:rPr/>
        <w:t>5% chemotherapie</w:t>
      </w:r>
    </w:p>
    <w:p>
      <w:pPr>
        <w:pStyle w:val="Normal"/>
        <w:numPr>
          <w:ilvl w:val="0"/>
          <w:numId w:val="1"/>
        </w:numPr>
        <w:rPr/>
      </w:pPr>
      <w:r>
        <w:rPr/>
        <w:t>2% massale transfusie</w:t>
      </w:r>
    </w:p>
    <w:p>
      <w:pPr>
        <w:pStyle w:val="Normal"/>
        <w:numPr>
          <w:ilvl w:val="0"/>
          <w:numId w:val="1"/>
        </w:numPr>
        <w:rPr/>
      </w:pPr>
      <w:r>
        <w:rPr/>
        <w:t>2% alcoholisme</w:t>
      </w:r>
    </w:p>
    <w:p>
      <w:pPr>
        <w:pStyle w:val="Normal"/>
        <w:numPr>
          <w:ilvl w:val="0"/>
          <w:numId w:val="1"/>
        </w:numPr>
        <w:rPr/>
      </w:pPr>
      <w:r>
        <w:rPr/>
      </w:r>
    </w:p>
    <w:p>
      <w:pPr>
        <w:pStyle w:val="Normal"/>
        <w:numPr>
          <w:ilvl w:val="0"/>
          <w:numId w:val="1"/>
        </w:numPr>
        <w:rPr/>
      </w:pPr>
      <w:r>
        <w:rPr/>
        <w:t>bloedkweken, stollingsonderzoek, leverwaarden</w:t>
      </w:r>
    </w:p>
    <w:p>
      <w:pPr>
        <w:pStyle w:val="Normal"/>
        <w:numPr>
          <w:ilvl w:val="0"/>
          <w:numId w:val="1"/>
        </w:numPr>
        <w:rPr/>
      </w:pPr>
      <w:r>
        <w:rPr/>
        <w:t>gevaarlijk: HIT, TTP, PTP, ITP, acute leukemie</w:t>
      </w:r>
    </w:p>
    <w:p>
      <w:pPr>
        <w:pStyle w:val="Normal"/>
        <w:numPr>
          <w:ilvl w:val="0"/>
          <w:numId w:val="1"/>
        </w:numPr>
        <w:rPr/>
      </w:pPr>
      <w:r>
        <w:rPr/>
        <w:t>●</w:t>
      </w:r>
      <w:r>
        <w:rPr/>
        <w:t>Bleeding in the setting of severe thrombocytopenia (ie, platelet count &lt;50,000/microL)</w:t>
      </w:r>
    </w:p>
    <w:p>
      <w:pPr>
        <w:pStyle w:val="Normal"/>
        <w:numPr>
          <w:ilvl w:val="0"/>
          <w:numId w:val="1"/>
        </w:numPr>
        <w:rPr/>
      </w:pPr>
      <w:r>
        <w:rPr/>
        <w:t>●</w:t>
      </w:r>
      <w:r>
        <w:rPr/>
        <w:t>Urgently needed invasive procedure with severe thrombocytopenia</w:t>
      </w:r>
    </w:p>
    <w:p>
      <w:pPr>
        <w:pStyle w:val="Normal"/>
        <w:numPr>
          <w:ilvl w:val="0"/>
          <w:numId w:val="1"/>
        </w:numPr>
        <w:rPr/>
      </w:pPr>
      <w:r>
        <w:rPr/>
        <w:t>●</w:t>
      </w:r>
      <w:r>
        <w:rPr/>
        <w:t>Pregnancy with severe thrombocytopenia</w:t>
      </w:r>
    </w:p>
    <w:p>
      <w:pPr>
        <w:pStyle w:val="Normal"/>
        <w:numPr>
          <w:ilvl w:val="0"/>
          <w:numId w:val="1"/>
        </w:numPr>
        <w:rPr/>
      </w:pPr>
      <w:r>
        <w:rPr/>
        <w:t>●</w:t>
      </w:r>
      <w:r>
        <w:rPr/>
        <w:t>Suspected heparin-induced thrombocytopenia (HIT) or post-transfusion purpura</w:t>
      </w:r>
    </w:p>
    <w:p>
      <w:pPr>
        <w:pStyle w:val="Normal"/>
        <w:numPr>
          <w:ilvl w:val="0"/>
          <w:numId w:val="1"/>
        </w:numPr>
        <w:rPr/>
      </w:pPr>
      <w:r>
        <w:rPr/>
        <w:t>●</w:t>
      </w:r>
      <w:r>
        <w:rPr/>
        <w:t>Suspected thrombotic thrombocytopenic purpura (TTP), hemolytic uremic syndrome (HUS), or drug-induced thrombotic microangiopathy (DITMA)</w:t>
      </w:r>
    </w:p>
    <w:p>
      <w:pPr>
        <w:pStyle w:val="Normal"/>
        <w:numPr>
          <w:ilvl w:val="0"/>
          <w:numId w:val="1"/>
        </w:numPr>
        <w:rPr/>
      </w:pPr>
      <w:r>
        <w:rPr/>
        <w:t>●</w:t>
      </w:r>
      <w:r>
        <w:rPr/>
        <w:t>Suspected acute leukemia, aplastic anemia, or other bone marrow failure syndrome</w:t>
      </w:r>
    </w:p>
    <w:p>
      <w:pPr>
        <w:pStyle w:val="Normal"/>
        <w:numPr>
          <w:ilvl w:val="0"/>
          <w:numId w:val="1"/>
        </w:numPr>
        <w:rPr/>
      </w:pPr>
      <w:r>
        <w:rPr/>
      </w:r>
    </w:p>
    <w:p>
      <w:pPr>
        <w:pStyle w:val="Normal"/>
        <w:numPr>
          <w:ilvl w:val="0"/>
          <w:numId w:val="1"/>
        </w:numPr>
        <w:rPr/>
      </w:pPr>
      <w:r>
        <w:rPr/>
        <w:t>HISTORY</w:t>
      </w:r>
    </w:p>
    <w:p>
      <w:pPr>
        <w:pStyle w:val="Normal"/>
        <w:numPr>
          <w:ilvl w:val="0"/>
          <w:numId w:val="1"/>
        </w:numPr>
        <w:rPr/>
      </w:pPr>
      <w:r>
        <w:rPr/>
        <w:t>veganism, vegetarianism, zinc ingestion</w:t>
      </w:r>
    </w:p>
    <w:p>
      <w:pPr>
        <w:pStyle w:val="Normal"/>
        <w:numPr>
          <w:ilvl w:val="0"/>
          <w:numId w:val="0"/>
        </w:numPr>
        <w:ind w:left="720" w:hanging="0"/>
        <w:rPr/>
      </w:pPr>
      <w:r>
        <w:rPr/>
      </w:r>
    </w:p>
    <w:p>
      <w:pPr>
        <w:pStyle w:val="Normal"/>
        <w:numPr>
          <w:ilvl w:val="0"/>
          <w:numId w:val="1"/>
        </w:numPr>
        <w:rPr/>
      </w:pPr>
      <w:r>
        <w:rPr/>
        <w:t>Patients with bleeding due to thrombocytopenia may have petechiae, purpura, or frank mucosal bleeding.</w:t>
      </w:r>
    </w:p>
    <w:p>
      <w:pPr>
        <w:pStyle w:val="Normal"/>
        <w:numPr>
          <w:ilvl w:val="0"/>
          <w:numId w:val="1"/>
        </w:numPr>
        <w:rPr/>
      </w:pPr>
      <w:r>
        <w:rPr/>
        <w:t>●</w:t>
      </w:r>
    </w:p>
    <w:p>
      <w:pPr>
        <w:pStyle w:val="Normal"/>
        <w:numPr>
          <w:ilvl w:val="0"/>
          <w:numId w:val="1"/>
        </w:numPr>
        <w:rPr/>
      </w:pPr>
      <w:r>
        <w:rPr/>
      </w:r>
    </w:p>
    <w:p>
      <w:pPr>
        <w:pStyle w:val="Normal"/>
        <w:numPr>
          <w:ilvl w:val="0"/>
          <w:numId w:val="1"/>
        </w:numPr>
        <w:rPr/>
      </w:pPr>
      <w:r>
        <w:rPr/>
        <w:t>Anemie en trombopenie: ijzergebrek, TMA, Evans, dd pancytopenie</w:t>
      </w:r>
    </w:p>
    <w:p>
      <w:pPr>
        <w:pStyle w:val="Normal"/>
        <w:numPr>
          <w:ilvl w:val="0"/>
          <w:numId w:val="1"/>
        </w:numPr>
        <w:rPr/>
      </w:pPr>
      <w:r>
        <w:rPr/>
        <w:t>Leukocytose en trombopenie: infection, chronic inflammation, malignancy.</w:t>
      </w:r>
    </w:p>
    <w:p>
      <w:pPr>
        <w:pStyle w:val="Normal"/>
        <w:numPr>
          <w:ilvl w:val="0"/>
          <w:numId w:val="1"/>
        </w:numPr>
        <w:rPr/>
      </w:pPr>
      <w:r>
        <w:rPr/>
        <w:t>Pancytopenie</w:t>
      </w:r>
    </w:p>
    <w:p>
      <w:pPr>
        <w:pStyle w:val="Normal"/>
        <w:numPr>
          <w:ilvl w:val="0"/>
          <w:numId w:val="0"/>
        </w:numPr>
        <w:ind w:left="720" w:hanging="0"/>
        <w:rPr/>
      </w:pPr>
      <w:r>
        <w:rPr/>
      </w:r>
    </w:p>
    <w:p>
      <w:pPr>
        <w:pStyle w:val="Normal"/>
        <w:numPr>
          <w:ilvl w:val="0"/>
          <w:numId w:val="0"/>
        </w:numPr>
        <w:ind w:left="720" w:hanging="0"/>
        <w:rPr/>
      </w:pPr>
      <w:r>
        <w:rPr/>
        <w:t>ADDITIONAL EVALUATION</w:t>
      </w:r>
    </w:p>
    <w:p>
      <w:pPr>
        <w:pStyle w:val="Normal"/>
        <w:numPr>
          <w:ilvl w:val="0"/>
          <w:numId w:val="1"/>
        </w:numPr>
        <w:rPr/>
      </w:pPr>
      <w:r>
        <w:rPr/>
        <w:t>●</w:t>
      </w:r>
      <w:r>
        <w:rPr/>
        <w:t xml:space="preserve">Megaloblastic changes in the RBC and granulocytic series suggest a nutrient deficiency (eg, </w:t>
      </w:r>
      <w:hyperlink r:id="rId4">
        <w:r>
          <w:rPr/>
          <w:t>vitamin B12</w:t>
        </w:r>
      </w:hyperlink>
      <w:r>
        <w:rPr/>
        <w:t xml:space="preserve">, folate, copper) </w:t>
      </w:r>
    </w:p>
    <w:p>
      <w:pPr>
        <w:pStyle w:val="Normal"/>
        <w:numPr>
          <w:ilvl w:val="0"/>
          <w:numId w:val="1"/>
        </w:numPr>
        <w:rPr/>
      </w:pPr>
      <w:r>
        <w:rPr/>
      </w:r>
    </w:p>
    <w:p>
      <w:pPr>
        <w:pStyle w:val="Normal"/>
        <w:numPr>
          <w:ilvl w:val="0"/>
          <w:numId w:val="1"/>
        </w:numPr>
        <w:rPr/>
      </w:pPr>
      <w:r>
        <w:rPr/>
        <w:t>High-impact sporten vermijden</w:t>
      </w:r>
    </w:p>
    <w:p>
      <w:pPr>
        <w:pStyle w:val="Normal"/>
        <w:numPr>
          <w:ilvl w:val="0"/>
          <w:numId w:val="1"/>
        </w:numPr>
        <w:rPr/>
      </w:pPr>
      <w:r>
        <w:rPr/>
        <w:t>NSAID/gingko biloba vermijden</w:t>
      </w:r>
    </w:p>
    <w:p>
      <w:pPr>
        <w:pStyle w:val="Normal"/>
        <w:numPr>
          <w:ilvl w:val="0"/>
          <w:numId w:val="1"/>
        </w:numPr>
        <w:rPr/>
      </w:pPr>
      <w:r>
        <w:rPr/>
        <w:t>Antistolling heroverwegen</w:t>
      </w:r>
    </w:p>
    <w:p>
      <w:pPr>
        <w:pStyle w:val="Normal"/>
        <w:numPr>
          <w:ilvl w:val="0"/>
          <w:numId w:val="1"/>
        </w:numPr>
        <w:rPr/>
      </w:pPr>
      <w:r>
        <w:rPr/>
        <w:t>Overweeg invasieve procedures vermijden</w:t>
      </w:r>
    </w:p>
    <w:p>
      <w:pPr>
        <w:pStyle w:val="Normal"/>
        <w:numPr>
          <w:ilvl w:val="0"/>
          <w:numId w:val="1"/>
        </w:numPr>
        <w:rPr/>
      </w:pPr>
      <w:r>
        <w:rPr/>
        <w:t>Oorzaak behandelen</w:t>
      </w:r>
    </w:p>
    <w:p>
      <w:pPr>
        <w:pStyle w:val="Normal"/>
        <w:numPr>
          <w:ilvl w:val="0"/>
          <w:numId w:val="1"/>
        </w:numPr>
        <w:rPr/>
      </w:pPr>
      <w:r>
        <w:rPr/>
        <w:t>Transfusie</w:t>
      </w:r>
    </w:p>
    <w:p>
      <w:pPr>
        <w:pStyle w:val="Normal"/>
        <w:numPr>
          <w:ilvl w:val="0"/>
          <w:numId w:val="1"/>
        </w:numPr>
        <w:rPr/>
      </w:pPr>
      <w:r>
        <w:rPr/>
      </w:r>
    </w:p>
    <w:p>
      <w:pPr>
        <w:pStyle w:val="Normal"/>
        <w:numPr>
          <w:ilvl w:val="0"/>
          <w:numId w:val="1"/>
        </w:numPr>
        <w:rPr/>
      </w:pPr>
      <w:r>
        <w:rPr/>
        <w:t>SUMMARY AND RECOMMENDATIONS</w:t>
      </w:r>
    </w:p>
    <w:p>
      <w:pPr>
        <w:pStyle w:val="Normal"/>
        <w:numPr>
          <w:ilvl w:val="0"/>
          <w:numId w:val="1"/>
        </w:numPr>
        <w:rPr/>
      </w:pPr>
      <w:r>
        <w:rPr/>
        <w:t>•</w:t>
      </w:r>
      <w:r>
        <w:rPr/>
        <w:t>In patients with other clinical findings, causes of thrombocytopenia include infection, sepsis, disseminated intravascular coagulation (DIC), drug-induced thrombocytopenia, HIT, liver disease, lymphoma, other malignancies, nutrient deficiencies (</w:t>
      </w:r>
      <w:hyperlink r:id="rId5">
        <w:r>
          <w:rPr/>
          <w:t>vitamin B12</w:t>
        </w:r>
      </w:hyperlink>
      <w:r>
        <w:rPr/>
        <w:t xml:space="preserve">, folate, copper), TTP or HUS, antiphospholipid syndrome (APS), and paroxysmal nocturnal hemoglobinuria (PNH). (See </w:t>
      </w:r>
      <w:r>
        <w:fldChar w:fldCharType="begin"/>
      </w:r>
      <w:r>
        <w:rPr/>
        <w:instrText> HYPERLINK "https://www.uptodate.com/index.html" \l "H1189684"</w:instrText>
      </w:r>
      <w:r>
        <w:rPr/>
        <w:fldChar w:fldCharType="separate"/>
      </w:r>
      <w:r>
        <w:rPr/>
        <w:t>'Thrombocytopenia with bleeding or other symptoms'</w:t>
      </w:r>
      <w:r>
        <w:rPr/>
        <w:fldChar w:fldCharType="end"/>
      </w:r>
      <w:r>
        <w:rPr/>
        <w:t xml:space="preserve"> above.)</w:t>
      </w:r>
    </w:p>
    <w:p>
      <w:pPr>
        <w:pStyle w:val="Normal"/>
        <w:numPr>
          <w:ilvl w:val="0"/>
          <w:numId w:val="1"/>
        </w:numPr>
        <w:rPr/>
      </w:pPr>
      <w:r>
        <w:rPr/>
        <w:t>•</w:t>
      </w:r>
      <w:r>
        <w:rPr/>
        <w:t>In acutely ill patients, common causes of new-onset thrombocytopenia include sepsis, DIC, and drug-induced thrombocytopenia (</w:t>
      </w:r>
      <w:hyperlink r:id="rId6">
        <w:r>
          <w:rPr/>
          <w:t>table 1</w:t>
        </w:r>
      </w:hyperlink>
      <w:r>
        <w:rPr/>
        <w:t xml:space="preserve">). Many patients in the intensive care unit with thrombocytopenia have more than one cause. (See </w:t>
      </w:r>
      <w:r>
        <w:fldChar w:fldCharType="begin"/>
      </w:r>
      <w:r>
        <w:rPr/>
        <w:instrText> HYPERLINK "https://www.uptodate.com/index.html" \l "H35177928"</w:instrText>
      </w:r>
      <w:r>
        <w:rPr/>
        <w:fldChar w:fldCharType="separate"/>
      </w:r>
      <w:r>
        <w:rPr/>
        <w:t>'Acutely ill/intensive care unit'</w:t>
      </w:r>
      <w:r>
        <w:rPr/>
        <w:fldChar w:fldCharType="end"/>
      </w:r>
      <w:r>
        <w:rPr/>
        <w:t xml:space="preserve"> above.)</w:t>
      </w:r>
    </w:p>
    <w:p>
      <w:pPr>
        <w:pStyle w:val="Normal"/>
        <w:numPr>
          <w:ilvl w:val="0"/>
          <w:numId w:val="1"/>
        </w:numPr>
        <w:rPr/>
      </w:pPr>
      <w:r>
        <w:rPr/>
        <w:t>●</w:t>
      </w:r>
      <w:r>
        <w:rPr/>
        <w:t>The history should focus on prior platelet counts, family history, bleeding, medications (</w:t>
      </w:r>
      <w:hyperlink r:id="rId7">
        <w:r>
          <w:rPr/>
          <w:t>table 3</w:t>
        </w:r>
      </w:hyperlink>
      <w:r>
        <w:rPr/>
        <w:t>), over-the-counter remedies (</w:t>
      </w:r>
      <w:hyperlink r:id="rId8">
        <w:r>
          <w:rPr/>
          <w:t>table 4</w:t>
        </w:r>
      </w:hyperlink>
      <w:r>
        <w:rPr/>
        <w:t xml:space="preserve">), infectious exposures, dietary practices, and other medical conditions (eg, hematologic disorders, rheumatologic conditions, surgery, transfusion). </w:t>
      </w:r>
    </w:p>
    <w:p>
      <w:pPr>
        <w:pStyle w:val="Normal"/>
        <w:numPr>
          <w:ilvl w:val="0"/>
          <w:numId w:val="1"/>
        </w:numPr>
        <w:rPr/>
      </w:pPr>
      <w:r>
        <w:rPr/>
      </w:r>
    </w:p>
    <w:p>
      <w:pPr>
        <w:pStyle w:val="Normal"/>
        <w:numPr>
          <w:ilvl w:val="0"/>
          <w:numId w:val="1"/>
        </w:numPr>
        <w:rPr/>
      </w:pPr>
      <w:r>
        <w:rPr/>
        <w:t>GRAPHICS</w:t>
      </w:r>
    </w:p>
    <w:p>
      <w:pPr>
        <w:pStyle w:val="Normal"/>
        <w:numPr>
          <w:ilvl w:val="0"/>
          <w:numId w:val="1"/>
        </w:numPr>
        <w:rPr/>
      </w:pPr>
      <w:r>
        <w:rPr/>
        <w:t>Major causes of disseminated intravascular coagulation</w:t>
      </w:r>
    </w:p>
    <w:tbl>
      <w:tblPr>
        <w:tblW w:w="5000" w:type="pct"/>
        <w:jc w:val="center"/>
        <w:tblInd w:w="0" w:type="dxa"/>
        <w:tblCellMar>
          <w:top w:w="96" w:type="dxa"/>
          <w:left w:w="101" w:type="dxa"/>
          <w:bottom w:w="72" w:type="dxa"/>
          <w:right w:w="144" w:type="dxa"/>
        </w:tblCellMar>
        <w:tblLook w:val="04a0" w:noHBand="0" w:noVBand="1" w:firstColumn="1" w:lastRow="0" w:lastColumn="0" w:firstRow="1"/>
      </w:tblPr>
      <w:tblGrid>
        <w:gridCol w:w="9072"/>
      </w:tblGrid>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Events that initiate DIC</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Septicemia - Gram negative and Gram positive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Crush injury or complicated surgery</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Severe head injury</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Cancer procoagulant (Trousseau's syndrome)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Acute leukemia, especially promyelocytic</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Complications of pregnancy</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Amniotic fluid embolism</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Abruptio placentae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HELLP syndrome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Eclampsia and severe preeclampsia</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Septic abortion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Amphetamine overdose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Giant hemangioma (Kasabach-Merritt syndrome)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Abdominal aortic aneurysm</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Peritoneovenous shunt</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Acute hemolytic transfusion reaction (ABO incompatibility)</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Paroxysmal nocturnal hemoglobinuria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Snake and viper venoms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Liver disease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Fulminant hepatic failure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Reperfusion after liver transplantation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Heat stroke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Burns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Purpura fulminans</w:t>
            </w:r>
          </w:p>
        </w:tc>
      </w:tr>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Events that complicate and propagate DIC</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Shock</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Complement pathway activation</w:t>
            </w:r>
          </w:p>
        </w:tc>
      </w:tr>
    </w:tbl>
    <w:p>
      <w:pPr>
        <w:pStyle w:val="Normal"/>
        <w:numPr>
          <w:ilvl w:val="0"/>
          <w:numId w:val="1"/>
        </w:numPr>
        <w:rPr/>
      </w:pPr>
      <w:r>
        <w:rPr/>
        <w:t>Graphic 58104 Version 3.0</w:t>
      </w:r>
    </w:p>
    <w:p>
      <w:pPr>
        <w:pStyle w:val="Normal"/>
        <w:numPr>
          <w:ilvl w:val="0"/>
          <w:numId w:val="1"/>
        </w:numPr>
        <w:rPr/>
      </w:pPr>
      <w:r>
        <w:rPr/>
        <w:t>Causes of thrombocytopenia in adults</w:t>
      </w:r>
    </w:p>
    <w:tbl>
      <w:tblPr>
        <w:tblW w:w="5000" w:type="pct"/>
        <w:jc w:val="center"/>
        <w:tblInd w:w="0" w:type="dxa"/>
        <w:tblCellMar>
          <w:top w:w="96" w:type="dxa"/>
          <w:left w:w="101" w:type="dxa"/>
          <w:bottom w:w="72" w:type="dxa"/>
          <w:right w:w="144" w:type="dxa"/>
        </w:tblCellMar>
        <w:tblLook w:val="04a0" w:noHBand="0" w:noVBand="1" w:firstColumn="1" w:lastRow="0" w:lastColumn="0" w:firstRow="1"/>
      </w:tblPr>
      <w:tblGrid>
        <w:gridCol w:w="9072"/>
      </w:tblGrid>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Falsely low platelet counts (pseudothrombocytopenia)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In vitro platelet clumping caused by ethylenediaminetetraacetic acid (EDTA)-dependent agglutinins (naturally occurring antibodies)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In vitro platelet clumping caused by an insufficiently anticoagulated specimen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In vitro platelet clumping caused by glycoprotein IIb/IIIa inhibitors (eg, abciximab) (NOTE: these can also cause true thrombocytopenia)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Giant platelets counted by automated counter as white blood cells rather than platelets</w:t>
            </w:r>
          </w:p>
        </w:tc>
      </w:tr>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Common causes of thrombocytopenia</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Primary immune thrombocytopenia (ITP)</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Drug-induced immune thrombocytopenia (DITP)</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Heparin (NOTE: special case, also can cause thrombosis)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Quinine (as in over-the-counter tablets for leg cramps; also in beverages)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Sulfonamides (eg, trimethoprim-sulfamethoxazole [Bactrim; Septra])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Acetaminophen (Tylenol, Panadol)</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Cimetidine (Tagamet)</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Ibuprofen (Advil, Motrin)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Naproxen (Aleve, Midol)</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Ampicillin (Omnipen, Apo-Ampi)</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Piperacillin (Pipracil, Zosyn)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Vancomycin (Vancocin)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Glycoprotein IIb/IIIa inhibitors (abciximab [ReoPro], tirofiban [Aggrastat], eptifibatide [Integrilin])</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Food and beverages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Quinine-containing beverages (tonic water, Schweppes bitter lemon)</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Walnuts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Certain herbal teas </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Infections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HIV</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Hepatitis C</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Epstein-Barr virus (EBV; can be associated with infectious mononucleosis)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Helicobacter pylori (suspected in patients with symptoms of dyspepsia or peptic ulcer disease)</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Sepsis with disseminated intravascular coagulation (DIC)</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Intracellular parasites (eg, malaria, babesia) </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Hypersplenism due to chronic liver disease</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Alcohol</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Nutrient deficiencies (eg, vitamin B12, folate, copper)</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Rheumatologic/autoimmune disorders (eg, systemic lupus erythematosus, rheumatoid arthritis)</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Pregnancy</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Gestational thrombocytopenia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Preeclampsia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HELLP syndrome (hemolysis, elevated liver function tests, low platelets)</w:t>
            </w:r>
          </w:p>
        </w:tc>
      </w:tr>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Other causes of thrombocytopenia</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Myelodysplasia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Suspected in older patients, in whom a bone marrow biopsy may be appropriate</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Cancer with disseminated intravascular coagulation</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Cancer with bone marrow infiltration or suppression (eg, lymphoma, leukemia, some solid tumors)</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Paroxysmal nocturnal hemoglobinuria (PNH)</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Thrombotic microangiopathy (TMA)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Thrombotic thrombocytopenic purpura (TTP) is manifested by thrombocytopenia and microangiopathic hemolytic anemia; fever, renal failure, and/or neurologic symptoms may or may not be present</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Hemolytic uremic syndrome (HUS) is typically seen in children following infection with a Shiga-toxin producing organism (Escherichia coli or Shigella)</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Drug-induced TMA may occur with quinine, certain cancer therapies, calcineurin inhibitors, and others</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Antiphospholipid syndrome (APS)</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Aplastic anemia</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Hereditary thrombocytopenias</w:t>
            </w:r>
          </w:p>
        </w:tc>
      </w:tr>
      <w:tr>
        <w:trPr/>
        <w:tc>
          <w:tcPr>
            <w:tcW w:w="9072" w:type="dxa"/>
            <w:tcBorders>
              <w:left w:val="single" w:sz="6" w:space="0" w:color="000000"/>
              <w:bottom w:val="single" w:sz="6" w:space="0" w:color="CCCCCC"/>
              <w:right w:val="single" w:sz="6" w:space="0" w:color="000000"/>
            </w:tcBorders>
            <w:tcMar>
              <w:top w:w="72" w:type="dxa"/>
              <w:left w:w="480" w:type="dxa"/>
            </w:tcMar>
          </w:tcPr>
          <w:p>
            <w:pPr>
              <w:pStyle w:val="Normal"/>
              <w:widowControl/>
              <w:numPr>
                <w:ilvl w:val="0"/>
                <w:numId w:val="1"/>
              </w:numPr>
              <w:bidi w:val="0"/>
              <w:spacing w:lineRule="auto" w:line="259" w:before="0" w:after="160"/>
              <w:jc w:val="left"/>
              <w:rPr/>
            </w:pPr>
            <w:r>
              <w:rPr/>
              <w:t>An important consideration, especially in young patients who do not respond to treatment. Some specific syndromes are listed. However, many patients appear to have autosomal dominant thrombocytopenia with no other clinical features.</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Von Willebrand disease type 2B</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Wiskott-Aldrich syndrome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Alport syndrome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May-Hegglin anomaly</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Fanconi syndrome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Bernard-Soulier syndrome</w:t>
            </w:r>
          </w:p>
        </w:tc>
      </w:tr>
      <w:tr>
        <w:trPr/>
        <w:tc>
          <w:tcPr>
            <w:tcW w:w="9072" w:type="dxa"/>
            <w:tcBorders>
              <w:left w:val="single" w:sz="6" w:space="0" w:color="000000"/>
              <w:bottom w:val="single" w:sz="6" w:space="0" w:color="CCCCCC"/>
              <w:right w:val="single" w:sz="6" w:space="0" w:color="000000"/>
            </w:tcBorders>
            <w:tcMar>
              <w:top w:w="72" w:type="dxa"/>
              <w:left w:w="948" w:type="dxa"/>
            </w:tcMar>
          </w:tcPr>
          <w:p>
            <w:pPr>
              <w:pStyle w:val="Normal"/>
              <w:widowControl/>
              <w:numPr>
                <w:ilvl w:val="0"/>
                <w:numId w:val="1"/>
              </w:numPr>
              <w:bidi w:val="0"/>
              <w:spacing w:lineRule="auto" w:line="259" w:before="0" w:after="160"/>
              <w:jc w:val="left"/>
              <w:rPr/>
            </w:pPr>
            <w:r>
              <w:rPr/>
              <w:t>Thrombocytopenia absent radius syndrome</w:t>
            </w:r>
          </w:p>
        </w:tc>
      </w:tr>
    </w:tbl>
    <w:p>
      <w:pPr>
        <w:pStyle w:val="Normal"/>
        <w:numPr>
          <w:ilvl w:val="0"/>
          <w:numId w:val="1"/>
        </w:numPr>
        <w:rPr>
          <w:lang w:val="en-US"/>
        </w:rPr>
      </w:pPr>
      <w:r>
        <w:rPr>
          <w:lang w:val="en-US"/>
        </w:rPr>
      </w:r>
    </w:p>
    <w:p>
      <w:pPr>
        <w:pStyle w:val="Normal"/>
        <w:numPr>
          <w:ilvl w:val="0"/>
          <w:numId w:val="1"/>
        </w:numPr>
        <w:rPr>
          <w:lang w:val="en-US"/>
        </w:rPr>
      </w:pPr>
      <w:r>
        <w:rPr>
          <w:lang w:val="en-US"/>
        </w:rPr>
      </w:r>
    </w:p>
    <w:p>
      <w:pPr>
        <w:pStyle w:val="Normal"/>
        <w:numPr>
          <w:ilvl w:val="0"/>
          <w:numId w:val="1"/>
        </w:numPr>
        <w:rPr/>
      </w:pPr>
      <w:r>
        <w:rPr/>
      </w:r>
      <w:r>
        <w:br w:type="page"/>
      </w:r>
    </w:p>
    <w:p>
      <w:pPr>
        <w:pStyle w:val="Normal"/>
        <w:numPr>
          <w:ilvl w:val="0"/>
          <w:numId w:val="1"/>
        </w:numPr>
        <w:rPr/>
      </w:pPr>
      <w:r>
        <w:rPr/>
        <w:t>Δ In addition to parenteral formulations, vancomycin may be present in orthopedic cement used for joint replacement.</w:t>
      </w:r>
    </w:p>
    <w:p>
      <w:pPr>
        <w:pStyle w:val="Normal"/>
        <w:numPr>
          <w:ilvl w:val="0"/>
          <w:numId w:val="1"/>
        </w:numPr>
        <w:rPr/>
      </w:pPr>
      <w:r>
        <w:rPr/>
      </w:r>
    </w:p>
    <w:p>
      <w:pPr>
        <w:pStyle w:val="Normal"/>
        <w:numPr>
          <w:ilvl w:val="0"/>
          <w:numId w:val="1"/>
        </w:numPr>
        <w:rPr/>
      </w:pPr>
      <w:r>
        <w:rPr/>
      </w:r>
    </w:p>
    <w:p>
      <w:pPr>
        <w:pStyle w:val="Normal"/>
        <w:numPr>
          <w:ilvl w:val="0"/>
          <w:numId w:val="1"/>
        </w:numPr>
        <w:rPr/>
      </w:pPr>
      <w:r>
        <w:rPr/>
        <w:t>Commercially available sources of quinine</w:t>
      </w:r>
    </w:p>
    <w:tbl>
      <w:tblPr>
        <w:tblW w:w="5000" w:type="pct"/>
        <w:jc w:val="center"/>
        <w:tblInd w:w="0" w:type="dxa"/>
        <w:tblCellMar>
          <w:top w:w="0" w:type="dxa"/>
          <w:left w:w="60" w:type="dxa"/>
          <w:bottom w:w="0" w:type="dxa"/>
          <w:right w:w="60" w:type="dxa"/>
        </w:tblCellMar>
      </w:tblPr>
      <w:tblGrid>
        <w:gridCol w:w="9072"/>
      </w:tblGrid>
      <w:tr>
        <w:trPr/>
        <w:tc>
          <w:tcPr>
            <w:tcW w:w="9072" w:type="dxa"/>
            <w:tcBorders/>
          </w:tcPr>
          <w:tbl>
            <w:tblPr>
              <w:tblW w:w="5000" w:type="pct"/>
              <w:jc w:val="left"/>
              <w:tblInd w:w="0" w:type="dxa"/>
              <w:tblCellMar>
                <w:top w:w="96" w:type="dxa"/>
                <w:left w:w="101" w:type="dxa"/>
                <w:bottom w:w="72" w:type="dxa"/>
                <w:right w:w="144" w:type="dxa"/>
              </w:tblCellMar>
            </w:tblPr>
            <w:tblGrid>
              <w:gridCol w:w="8952"/>
            </w:tblGrid>
            <w:tr>
              <w:trPr/>
              <w:tc>
                <w:tcPr>
                  <w:tcW w:w="895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 xml:space="preserve">Available forms of quinine: </w:t>
                  </w:r>
                </w:p>
              </w:tc>
            </w:tr>
            <w:tr>
              <w:trPr/>
              <w:tc>
                <w:tcPr>
                  <w:tcW w:w="8952" w:type="dxa"/>
                  <w:tcBorders>
                    <w:left w:val="single" w:sz="6" w:space="0" w:color="000000"/>
                    <w:bottom w:val="single" w:sz="6" w:space="0" w:color="CCCCCC"/>
                    <w:right w:val="single" w:sz="6" w:space="0" w:color="000000"/>
                  </w:tcBorders>
                  <w:tcMar>
                    <w:top w:w="72" w:type="dxa"/>
                    <w:left w:w="144" w:type="dxa"/>
                  </w:tcMar>
                </w:tcPr>
                <w:p>
                  <w:pPr>
                    <w:pStyle w:val="Normal"/>
                    <w:widowControl/>
                    <w:numPr>
                      <w:ilvl w:val="0"/>
                      <w:numId w:val="1"/>
                    </w:numPr>
                    <w:bidi w:val="0"/>
                    <w:spacing w:lineRule="auto" w:line="259" w:before="0" w:after="160"/>
                    <w:jc w:val="left"/>
                    <w:rPr/>
                  </w:pPr>
                  <w:r>
                    <w:rPr/>
                    <w:t>Quinine sulfate capsules/tablets (as anti-malarial therapy or for leg cramps)</w:t>
                  </w:r>
                </w:p>
              </w:tc>
            </w:tr>
            <w:tr>
              <w:trPr/>
              <w:tc>
                <w:tcPr>
                  <w:tcW w:w="8952" w:type="dxa"/>
                  <w:tcBorders>
                    <w:left w:val="single" w:sz="6" w:space="0" w:color="000000"/>
                    <w:bottom w:val="single" w:sz="6" w:space="0" w:color="CCCCCC"/>
                    <w:right w:val="single" w:sz="6" w:space="0" w:color="000000"/>
                  </w:tcBorders>
                  <w:tcMar>
                    <w:top w:w="72" w:type="dxa"/>
                    <w:left w:w="144" w:type="dxa"/>
                  </w:tcMar>
                </w:tcPr>
                <w:p>
                  <w:pPr>
                    <w:pStyle w:val="Normal"/>
                    <w:widowControl/>
                    <w:numPr>
                      <w:ilvl w:val="0"/>
                      <w:numId w:val="1"/>
                    </w:numPr>
                    <w:bidi w:val="0"/>
                    <w:spacing w:lineRule="auto" w:line="259" w:before="0" w:after="160"/>
                    <w:jc w:val="left"/>
                    <w:rPr/>
                  </w:pPr>
                  <w:r>
                    <w:rPr/>
                    <w:t>Quinine-containing beverages (eg, quinine water, tonic water, bitter lemon, gin and tonic)</w:t>
                  </w:r>
                </w:p>
              </w:tc>
            </w:tr>
            <w:tr>
              <w:trPr/>
              <w:tc>
                <w:tcPr>
                  <w:tcW w:w="8952" w:type="dxa"/>
                  <w:tcBorders>
                    <w:left w:val="single" w:sz="6" w:space="0" w:color="000000"/>
                    <w:bottom w:val="single" w:sz="6" w:space="0" w:color="CCCCCC"/>
                    <w:right w:val="single" w:sz="6" w:space="0" w:color="000000"/>
                  </w:tcBorders>
                  <w:tcMar>
                    <w:top w:w="72" w:type="dxa"/>
                    <w:left w:w="144" w:type="dxa"/>
                  </w:tcMar>
                </w:tcPr>
                <w:p>
                  <w:pPr>
                    <w:pStyle w:val="Normal"/>
                    <w:widowControl/>
                    <w:numPr>
                      <w:ilvl w:val="0"/>
                      <w:numId w:val="1"/>
                    </w:numPr>
                    <w:bidi w:val="0"/>
                    <w:spacing w:lineRule="auto" w:line="259" w:before="0" w:after="160"/>
                    <w:jc w:val="left"/>
                    <w:rPr/>
                  </w:pPr>
                  <w:r>
                    <w:rPr/>
                    <w:t>Quinine is also added to other popular beverages because of its fluorescent properties (eg, "jello shots," "shocktails")</w:t>
                  </w:r>
                </w:p>
              </w:tc>
            </w:tr>
            <w:tr>
              <w:trPr/>
              <w:tc>
                <w:tcPr>
                  <w:tcW w:w="8952" w:type="dxa"/>
                  <w:tcBorders>
                    <w:left w:val="single" w:sz="6" w:space="0" w:color="000000"/>
                    <w:bottom w:val="single" w:sz="6" w:space="0" w:color="CCCCCC"/>
                    <w:right w:val="single" w:sz="6" w:space="0" w:color="000000"/>
                  </w:tcBorders>
                  <w:tcMar>
                    <w:top w:w="72" w:type="dxa"/>
                    <w:left w:w="144" w:type="dxa"/>
                  </w:tcMar>
                </w:tcPr>
                <w:p>
                  <w:pPr>
                    <w:pStyle w:val="Normal"/>
                    <w:widowControl/>
                    <w:numPr>
                      <w:ilvl w:val="0"/>
                      <w:numId w:val="1"/>
                    </w:numPr>
                    <w:bidi w:val="0"/>
                    <w:spacing w:lineRule="auto" w:line="259" w:before="0" w:after="160"/>
                    <w:jc w:val="left"/>
                    <w:rPr/>
                  </w:pPr>
                  <w:r>
                    <w:rPr/>
                    <w:t>Herbal preparations containing quinine or bark from the Cinchona tree*</w:t>
                  </w:r>
                </w:p>
              </w:tc>
            </w:tr>
          </w:tbl>
          <w:p>
            <w:pPr>
              <w:pStyle w:val="Normal"/>
              <w:widowControl/>
              <w:numPr>
                <w:ilvl w:val="0"/>
                <w:numId w:val="1"/>
              </w:numPr>
              <w:bidi w:val="0"/>
              <w:spacing w:lineRule="auto" w:line="259" w:before="0" w:after="160"/>
              <w:jc w:val="left"/>
              <w:rPr/>
            </w:pPr>
            <w:r>
              <w:rPr/>
            </w:r>
          </w:p>
        </w:tc>
      </w:tr>
    </w:tbl>
    <w:p>
      <w:pPr>
        <w:pStyle w:val="Normal"/>
        <w:numPr>
          <w:ilvl w:val="0"/>
          <w:numId w:val="1"/>
        </w:numPr>
        <w:rPr/>
      </w:pPr>
      <w:r>
        <w:rPr/>
        <w:t>In the United States, quinine tablets are available only by prescription for the treatment of malaria (as Qualaquin). In other countries, quinine may be available for leg cramps by prescription or over-the-counter. We believe all of the products listed above have the potential for causing drug-induced immune thrombocytopenia (DITP) and/or immune-mediated drug-induced thrombotic microangiopathy (DITMA).</w:t>
      </w:r>
    </w:p>
    <w:p>
      <w:pPr>
        <w:pStyle w:val="Normal"/>
        <w:numPr>
          <w:ilvl w:val="0"/>
          <w:numId w:val="1"/>
        </w:numPr>
        <w:rPr/>
      </w:pPr>
      <w:r>
        <w:rPr/>
        <w:t xml:space="preserve">Adapted from: Liles NW, Page EE, Liles AL, et al. Diversity and severity of adverse reactions to quinine: a systematic review. Am J Hematol 2016; 91:461. </w:t>
      </w:r>
    </w:p>
    <w:p>
      <w:pPr>
        <w:pStyle w:val="Normal"/>
        <w:numPr>
          <w:ilvl w:val="0"/>
          <w:numId w:val="1"/>
        </w:numPr>
        <w:rPr/>
      </w:pPr>
      <w:r>
        <w:rPr/>
      </w:r>
    </w:p>
    <w:p>
      <w:pPr>
        <w:pStyle w:val="Normal"/>
        <w:numPr>
          <w:ilvl w:val="0"/>
          <w:numId w:val="1"/>
        </w:numPr>
        <w:rPr/>
      </w:pPr>
      <w:r>
        <w:rPr/>
      </w:r>
    </w:p>
    <w:p>
      <w:pPr>
        <w:pStyle w:val="Normal"/>
        <w:numPr>
          <w:ilvl w:val="0"/>
          <w:numId w:val="1"/>
        </w:numPr>
        <w:rPr/>
      </w:pPr>
      <w:r>
        <w:rPr/>
        <w:t>Common presentations of patients with thrombocytopenia</w:t>
      </w:r>
    </w:p>
    <w:tbl>
      <w:tblPr>
        <w:tblW w:w="5000" w:type="pct"/>
        <w:jc w:val="center"/>
        <w:tblInd w:w="0" w:type="dxa"/>
        <w:tblCellMar>
          <w:top w:w="96" w:type="dxa"/>
          <w:left w:w="101" w:type="dxa"/>
          <w:bottom w:w="72" w:type="dxa"/>
          <w:right w:w="144" w:type="dxa"/>
        </w:tblCellMar>
      </w:tblPr>
      <w:tblGrid>
        <w:gridCol w:w="9072"/>
      </w:tblGrid>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 xml:space="preserve">Office presentation </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 xml:space="preserve">Asymptomatic, ISOLATED, incidentally-discovered thrombocytopenia </w:t>
            </w:r>
          </w:p>
        </w:tc>
      </w:tr>
      <w:tr>
        <w:trPr/>
        <w:tc>
          <w:tcPr>
            <w:tcW w:w="9072" w:type="dxa"/>
            <w:tcBorders>
              <w:left w:val="single" w:sz="6" w:space="0" w:color="000000"/>
              <w:bottom w:val="single" w:sz="6" w:space="0" w:color="777777"/>
              <w:right w:val="single" w:sz="6" w:space="0" w:color="000000"/>
            </w:tcBorders>
            <w:tcMar>
              <w:left w:w="720" w:type="dxa"/>
            </w:tcMar>
            <w:vAlign w:val="center"/>
          </w:tcPr>
          <w:p>
            <w:pPr>
              <w:pStyle w:val="Normal"/>
              <w:widowControl/>
              <w:numPr>
                <w:ilvl w:val="0"/>
                <w:numId w:val="1"/>
              </w:numPr>
              <w:bidi w:val="0"/>
              <w:spacing w:lineRule="auto" w:line="259" w:before="0" w:after="160"/>
              <w:jc w:val="left"/>
              <w:rPr/>
            </w:pPr>
            <w:r>
              <w:rPr/>
              <w:t xml:space="preserve">Common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Immune thrombocytopenia (ITP)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Gestational thrombocytopenia during pregnancy</w:t>
            </w:r>
          </w:p>
        </w:tc>
      </w:tr>
      <w:tr>
        <w:trPr/>
        <w:tc>
          <w:tcPr>
            <w:tcW w:w="9072" w:type="dxa"/>
            <w:tcBorders>
              <w:left w:val="single" w:sz="6" w:space="0" w:color="000000"/>
              <w:bottom w:val="single" w:sz="6" w:space="0" w:color="777777"/>
              <w:right w:val="single" w:sz="6" w:space="0" w:color="000000"/>
            </w:tcBorders>
            <w:tcMar>
              <w:left w:w="720" w:type="dxa"/>
            </w:tcMar>
            <w:vAlign w:val="center"/>
          </w:tcPr>
          <w:p>
            <w:pPr>
              <w:pStyle w:val="Normal"/>
              <w:widowControl/>
              <w:numPr>
                <w:ilvl w:val="0"/>
                <w:numId w:val="1"/>
              </w:numPr>
              <w:bidi w:val="0"/>
              <w:spacing w:lineRule="auto" w:line="259" w:before="0" w:after="160"/>
              <w:jc w:val="left"/>
              <w:rPr/>
            </w:pPr>
            <w:r>
              <w:rPr/>
              <w:t xml:space="preserve">Less common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Occult liver disease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Myelodysplastic syndrome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Congenital thrombocytopenia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HIV infection </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 xml:space="preserve">Symptomatic, severe thrombocytopenia </w:t>
            </w:r>
          </w:p>
        </w:tc>
      </w:tr>
      <w:tr>
        <w:trPr/>
        <w:tc>
          <w:tcPr>
            <w:tcW w:w="9072" w:type="dxa"/>
            <w:tcBorders>
              <w:left w:val="single" w:sz="6" w:space="0" w:color="000000"/>
              <w:bottom w:val="single" w:sz="6" w:space="0" w:color="777777"/>
              <w:right w:val="single" w:sz="6" w:space="0" w:color="000000"/>
            </w:tcBorders>
            <w:tcMar>
              <w:left w:w="720" w:type="dxa"/>
            </w:tcMar>
            <w:vAlign w:val="center"/>
          </w:tcPr>
          <w:p>
            <w:pPr>
              <w:pStyle w:val="Normal"/>
              <w:widowControl/>
              <w:numPr>
                <w:ilvl w:val="0"/>
                <w:numId w:val="1"/>
              </w:numPr>
              <w:bidi w:val="0"/>
              <w:spacing w:lineRule="auto" w:line="259" w:before="0" w:after="160"/>
              <w:jc w:val="left"/>
              <w:rPr/>
            </w:pPr>
            <w:r>
              <w:rPr/>
              <w:t xml:space="preserve">Common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Drug-induced thrombocytopenia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Immune thrombocytopenia (ITP) </w:t>
            </w:r>
          </w:p>
        </w:tc>
      </w:tr>
      <w:tr>
        <w:trPr/>
        <w:tc>
          <w:tcPr>
            <w:tcW w:w="9072" w:type="dxa"/>
            <w:tcBorders>
              <w:left w:val="single" w:sz="6" w:space="0" w:color="000000"/>
              <w:bottom w:val="single" w:sz="6"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 xml:space="preserve">Hospital presentation </w:t>
            </w:r>
          </w:p>
        </w:tc>
      </w:tr>
      <w:tr>
        <w:trPr/>
        <w:tc>
          <w:tcPr>
            <w:tcW w:w="9072" w:type="dxa"/>
            <w:tcBorders>
              <w:left w:val="single" w:sz="6" w:space="0" w:color="000000"/>
              <w:bottom w:val="single" w:sz="6" w:space="0" w:color="555555"/>
              <w:right w:val="single" w:sz="6" w:space="0" w:color="000000"/>
            </w:tcBorders>
            <w:tcMar>
              <w:left w:w="360" w:type="dxa"/>
            </w:tcMar>
            <w:vAlign w:val="center"/>
          </w:tcPr>
          <w:p>
            <w:pPr>
              <w:pStyle w:val="Normal"/>
              <w:widowControl/>
              <w:numPr>
                <w:ilvl w:val="0"/>
                <w:numId w:val="1"/>
              </w:numPr>
              <w:bidi w:val="0"/>
              <w:spacing w:lineRule="auto" w:line="259" w:before="0" w:after="160"/>
              <w:jc w:val="left"/>
              <w:rPr/>
            </w:pPr>
            <w:r>
              <w:rPr/>
              <w:t xml:space="preserve">Thrombocytopenia as part of a multisystem illness </w:t>
            </w:r>
          </w:p>
        </w:tc>
      </w:tr>
      <w:tr>
        <w:trPr/>
        <w:tc>
          <w:tcPr>
            <w:tcW w:w="9072" w:type="dxa"/>
            <w:tcBorders>
              <w:left w:val="single" w:sz="6" w:space="0" w:color="000000"/>
              <w:bottom w:val="single" w:sz="6" w:space="0" w:color="777777"/>
              <w:right w:val="single" w:sz="6" w:space="0" w:color="000000"/>
            </w:tcBorders>
            <w:tcMar>
              <w:left w:w="720" w:type="dxa"/>
            </w:tcMar>
            <w:vAlign w:val="center"/>
          </w:tcPr>
          <w:p>
            <w:pPr>
              <w:pStyle w:val="Normal"/>
              <w:widowControl/>
              <w:numPr>
                <w:ilvl w:val="0"/>
                <w:numId w:val="1"/>
              </w:numPr>
              <w:bidi w:val="0"/>
              <w:spacing w:lineRule="auto" w:line="259" w:before="0" w:after="160"/>
              <w:jc w:val="left"/>
              <w:rPr/>
            </w:pPr>
            <w:r>
              <w:rPr/>
              <w:t xml:space="preserve">Common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Drug-induced thrombocytopenia</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Heparin-induced thrombocytopenia</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Liver disease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Sepsis with disseminated intravascular coagulation (DIC)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Cancer with DIC</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Pregnancy </w:t>
            </w:r>
          </w:p>
        </w:tc>
      </w:tr>
      <w:tr>
        <w:trPr/>
        <w:tc>
          <w:tcPr>
            <w:tcW w:w="9072" w:type="dxa"/>
            <w:tcBorders>
              <w:left w:val="single" w:sz="6" w:space="0" w:color="000000"/>
              <w:bottom w:val="single" w:sz="6" w:space="0" w:color="CCCCCC"/>
              <w:right w:val="single" w:sz="6" w:space="0" w:color="000000"/>
            </w:tcBorders>
            <w:tcMar>
              <w:top w:w="72" w:type="dxa"/>
              <w:left w:w="1344" w:type="dxa"/>
            </w:tcMar>
          </w:tcPr>
          <w:p>
            <w:pPr>
              <w:pStyle w:val="Normal"/>
              <w:widowControl/>
              <w:numPr>
                <w:ilvl w:val="0"/>
                <w:numId w:val="1"/>
              </w:numPr>
              <w:bidi w:val="0"/>
              <w:spacing w:lineRule="auto" w:line="259" w:before="0" w:after="160"/>
              <w:jc w:val="left"/>
              <w:rPr/>
            </w:pPr>
            <w:r>
              <w:rPr/>
              <w:t xml:space="preserve">Preeclampsia </w:t>
            </w:r>
          </w:p>
        </w:tc>
      </w:tr>
      <w:tr>
        <w:trPr/>
        <w:tc>
          <w:tcPr>
            <w:tcW w:w="9072" w:type="dxa"/>
            <w:tcBorders>
              <w:left w:val="single" w:sz="6" w:space="0" w:color="000000"/>
              <w:bottom w:val="single" w:sz="6" w:space="0" w:color="CCCCCC"/>
              <w:right w:val="single" w:sz="6" w:space="0" w:color="000000"/>
            </w:tcBorders>
            <w:tcMar>
              <w:top w:w="72" w:type="dxa"/>
              <w:left w:w="1344" w:type="dxa"/>
            </w:tcMar>
          </w:tcPr>
          <w:p>
            <w:pPr>
              <w:pStyle w:val="Normal"/>
              <w:widowControl/>
              <w:numPr>
                <w:ilvl w:val="0"/>
                <w:numId w:val="1"/>
              </w:numPr>
              <w:bidi w:val="0"/>
              <w:spacing w:lineRule="auto" w:line="259" w:before="0" w:after="160"/>
              <w:jc w:val="left"/>
              <w:rPr/>
            </w:pPr>
            <w:r>
              <w:rPr/>
              <w:t xml:space="preserve">HELLP syndrome (hemolysis, elevated liver enzymes, and low platelets) </w:t>
            </w:r>
          </w:p>
        </w:tc>
      </w:tr>
      <w:tr>
        <w:trPr/>
        <w:tc>
          <w:tcPr>
            <w:tcW w:w="9072" w:type="dxa"/>
            <w:tcBorders>
              <w:left w:val="single" w:sz="6" w:space="0" w:color="000000"/>
              <w:bottom w:val="single" w:sz="6" w:space="0" w:color="CCCCCC"/>
              <w:right w:val="single" w:sz="6" w:space="0" w:color="000000"/>
            </w:tcBorders>
            <w:tcMar>
              <w:top w:w="72" w:type="dxa"/>
              <w:left w:w="1344" w:type="dxa"/>
            </w:tcMar>
          </w:tcPr>
          <w:p>
            <w:pPr>
              <w:pStyle w:val="Normal"/>
              <w:widowControl/>
              <w:numPr>
                <w:ilvl w:val="0"/>
                <w:numId w:val="1"/>
              </w:numPr>
              <w:bidi w:val="0"/>
              <w:spacing w:lineRule="auto" w:line="259" w:before="0" w:after="160"/>
              <w:jc w:val="left"/>
              <w:rPr/>
            </w:pPr>
            <w:r>
              <w:rPr/>
              <w:t>Abruptio placentae with DIC</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Multi-organ failure syndromes </w:t>
            </w:r>
          </w:p>
        </w:tc>
      </w:tr>
      <w:tr>
        <w:trPr/>
        <w:tc>
          <w:tcPr>
            <w:tcW w:w="9072" w:type="dxa"/>
            <w:tcBorders>
              <w:left w:val="single" w:sz="6" w:space="0" w:color="000000"/>
              <w:bottom w:val="single" w:sz="6" w:space="0" w:color="777777"/>
              <w:right w:val="single" w:sz="6" w:space="0" w:color="000000"/>
            </w:tcBorders>
            <w:tcMar>
              <w:left w:w="720" w:type="dxa"/>
            </w:tcMar>
            <w:vAlign w:val="center"/>
          </w:tcPr>
          <w:p>
            <w:pPr>
              <w:pStyle w:val="Normal"/>
              <w:widowControl/>
              <w:numPr>
                <w:ilvl w:val="0"/>
                <w:numId w:val="1"/>
              </w:numPr>
              <w:bidi w:val="0"/>
              <w:spacing w:lineRule="auto" w:line="259" w:before="0" w:after="160"/>
              <w:jc w:val="left"/>
              <w:rPr/>
            </w:pPr>
            <w:r>
              <w:rPr/>
              <w:t xml:space="preserve">Less common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xml:space="preserve">Thrombotic thrombocytopenic purpura (TTP, acquired or hereditary) </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Drug-induced thrombotic microangiopathy (DITMA)</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Hemolytic uremic syndrome (HUS)</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Lymphoma</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Acute leukemia</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Antiphospholipid syndrome</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Paroxysmal nocturnal hemoglobinuria (PNH)</w:t>
            </w:r>
          </w:p>
        </w:tc>
      </w:tr>
      <w:tr>
        <w:trPr/>
        <w:tc>
          <w:tcPr>
            <w:tcW w:w="9072" w:type="dxa"/>
            <w:tcBorders>
              <w:left w:val="single" w:sz="6" w:space="0" w:color="000000"/>
              <w:bottom w:val="single" w:sz="6" w:space="0" w:color="CCCCCC"/>
              <w:right w:val="single" w:sz="6" w:space="0" w:color="000000"/>
            </w:tcBorders>
            <w:tcMar>
              <w:top w:w="72" w:type="dxa"/>
              <w:left w:w="840" w:type="dxa"/>
            </w:tcMar>
          </w:tcPr>
          <w:p>
            <w:pPr>
              <w:pStyle w:val="Normal"/>
              <w:widowControl/>
              <w:numPr>
                <w:ilvl w:val="0"/>
                <w:numId w:val="1"/>
              </w:numPr>
              <w:bidi w:val="0"/>
              <w:spacing w:lineRule="auto" w:line="259" w:before="0" w:after="160"/>
              <w:jc w:val="left"/>
              <w:rPr/>
            </w:pPr>
            <w:r>
              <w:rPr/>
              <w:t> </w:t>
            </w:r>
            <w:r>
              <w:rPr/>
              <w:t>Nutrient deficiency (vitamin B12, folate, copper)</w:t>
            </w:r>
          </w:p>
        </w:tc>
      </w:tr>
    </w:tbl>
    <w:p>
      <w:pPr>
        <w:pStyle w:val="Normal"/>
        <w:numPr>
          <w:ilvl w:val="0"/>
          <w:numId w:val="1"/>
        </w:numPr>
        <w:rPr/>
      </w:pPr>
      <w:r>
        <w:rPr/>
        <w:t>Refer to UpToDate topics on thrombocytopenia for further details.</w:t>
      </w:r>
    </w:p>
    <w:p>
      <w:pPr>
        <w:pStyle w:val="Normal"/>
        <w:numPr>
          <w:ilvl w:val="0"/>
          <w:numId w:val="1"/>
        </w:numPr>
        <w:rPr/>
      </w:pPr>
      <w:r>
        <w:rPr/>
        <w:t>Graphic 50310 Version 4.0</w:t>
      </w:r>
    </w:p>
    <w:p>
      <w:pPr>
        <w:pStyle w:val="Normal"/>
        <w:numPr>
          <w:ilvl w:val="0"/>
          <w:numId w:val="1"/>
        </w:numPr>
        <w:rPr/>
      </w:pPr>
      <w:r>
        <w:rPr/>
        <w:t>Clinical features of bleeding disorders</w:t>
      </w:r>
    </w:p>
    <w:tbl>
      <w:tblPr>
        <w:tblW w:w="5000" w:type="pct"/>
        <w:jc w:val="center"/>
        <w:tblInd w:w="0" w:type="dxa"/>
        <w:tblCellMar>
          <w:top w:w="120" w:type="dxa"/>
          <w:left w:w="144" w:type="dxa"/>
          <w:bottom w:w="72" w:type="dxa"/>
          <w:right w:w="144" w:type="dxa"/>
        </w:tblCellMar>
      </w:tblPr>
      <w:tblGrid>
        <w:gridCol w:w="2361"/>
        <w:gridCol w:w="4012"/>
        <w:gridCol w:w="2699"/>
      </w:tblGrid>
      <w:tr>
        <w:trPr/>
        <w:tc>
          <w:tcPr>
            <w:tcW w:w="2361" w:type="dxa"/>
            <w:vMerge w:val="restart"/>
            <w:tcBorders>
              <w:left w:val="single" w:sz="6" w:space="0" w:color="000000"/>
              <w:bottom w:val="single" w:sz="18" w:space="0" w:color="000000"/>
            </w:tcBorders>
            <w:shd w:color="auto" w:fill="EEEEEE" w:val="clear"/>
            <w:vAlign w:val="center"/>
          </w:tcPr>
          <w:p>
            <w:pPr>
              <w:pStyle w:val="Normal"/>
              <w:widowControl/>
              <w:numPr>
                <w:ilvl w:val="0"/>
                <w:numId w:val="1"/>
              </w:numPr>
              <w:bidi w:val="0"/>
              <w:spacing w:lineRule="auto" w:line="259" w:before="0" w:after="160"/>
              <w:jc w:val="left"/>
              <w:rPr/>
            </w:pPr>
            <w:r>
              <w:rPr/>
              <w:t>Bleeding characteristics</w:t>
            </w:r>
          </w:p>
        </w:tc>
        <w:tc>
          <w:tcPr>
            <w:tcW w:w="6711" w:type="dxa"/>
            <w:gridSpan w:val="2"/>
            <w:tcBorders>
              <w:left w:val="single" w:sz="6" w:space="0" w:color="000000"/>
              <w:bottom w:val="single" w:sz="18" w:space="0" w:color="000000"/>
              <w:right w:val="single" w:sz="6" w:space="0" w:color="000000"/>
            </w:tcBorders>
            <w:shd w:color="auto" w:fill="EEEEEE" w:val="clear"/>
            <w:vAlign w:val="center"/>
          </w:tcPr>
          <w:p>
            <w:pPr>
              <w:pStyle w:val="Normal"/>
              <w:widowControl/>
              <w:numPr>
                <w:ilvl w:val="0"/>
                <w:numId w:val="1"/>
              </w:numPr>
              <w:bidi w:val="0"/>
              <w:spacing w:lineRule="auto" w:line="259" w:before="0" w:after="160"/>
              <w:jc w:val="left"/>
              <w:rPr/>
            </w:pPr>
            <w:r>
              <w:rPr/>
              <w:t>Type of bleeding disorder</w:t>
            </w:r>
          </w:p>
        </w:tc>
      </w:tr>
      <w:tr>
        <w:trPr/>
        <w:tc>
          <w:tcPr>
            <w:tcW w:w="2361" w:type="dxa"/>
            <w:vMerge w:val="continue"/>
            <w:tcBorders>
              <w:left w:val="single" w:sz="6" w:space="0" w:color="000000"/>
              <w:bottom w:val="single" w:sz="18" w:space="0" w:color="000000"/>
            </w:tcBorders>
            <w:tcMar>
              <w:top w:w="0" w:type="dxa"/>
              <w:left w:w="7" w:type="dxa"/>
              <w:bottom w:w="0" w:type="dxa"/>
              <w:right w:w="7" w:type="dxa"/>
            </w:tcMar>
            <w:vAlign w:val="center"/>
          </w:tcPr>
          <w:p>
            <w:pPr>
              <w:pStyle w:val="Normal"/>
              <w:widowControl/>
              <w:numPr>
                <w:ilvl w:val="0"/>
                <w:numId w:val="1"/>
              </w:numPr>
              <w:bidi w:val="0"/>
              <w:spacing w:lineRule="auto" w:line="259" w:before="0" w:after="160"/>
              <w:jc w:val="left"/>
              <w:rPr/>
            </w:pPr>
            <w:r>
              <w:rPr/>
            </w:r>
          </w:p>
        </w:tc>
        <w:tc>
          <w:tcPr>
            <w:tcW w:w="4012" w:type="dxa"/>
            <w:tcBorders>
              <w:left w:val="single" w:sz="6" w:space="0" w:color="000000"/>
              <w:bottom w:val="single" w:sz="18" w:space="0" w:color="555555"/>
            </w:tcBorders>
            <w:tcMar>
              <w:top w:w="96" w:type="dxa"/>
            </w:tcMar>
            <w:vAlign w:val="center"/>
          </w:tcPr>
          <w:p>
            <w:pPr>
              <w:pStyle w:val="Normal"/>
              <w:widowControl/>
              <w:numPr>
                <w:ilvl w:val="0"/>
                <w:numId w:val="1"/>
              </w:numPr>
              <w:bidi w:val="0"/>
              <w:spacing w:lineRule="auto" w:line="259" w:before="0" w:after="160"/>
              <w:jc w:val="left"/>
              <w:rPr/>
            </w:pPr>
            <w:r>
              <w:rPr/>
              <w:t>Thrombocytopenia or platelet function defects</w:t>
            </w:r>
          </w:p>
        </w:tc>
        <w:tc>
          <w:tcPr>
            <w:tcW w:w="2699" w:type="dxa"/>
            <w:tcBorders>
              <w:left w:val="single" w:sz="6" w:space="0" w:color="000000"/>
              <w:bottom w:val="single" w:sz="18" w:space="0" w:color="555555"/>
              <w:right w:val="single" w:sz="6" w:space="0" w:color="000000"/>
            </w:tcBorders>
            <w:tcMar>
              <w:top w:w="96" w:type="dxa"/>
            </w:tcMar>
            <w:vAlign w:val="center"/>
          </w:tcPr>
          <w:p>
            <w:pPr>
              <w:pStyle w:val="Normal"/>
              <w:widowControl/>
              <w:numPr>
                <w:ilvl w:val="0"/>
                <w:numId w:val="1"/>
              </w:numPr>
              <w:bidi w:val="0"/>
              <w:spacing w:lineRule="auto" w:line="259" w:before="0" w:after="160"/>
              <w:jc w:val="left"/>
              <w:rPr/>
            </w:pPr>
            <w:r>
              <w:rPr/>
              <w:t>Clotting factor deficiencies or inhibitors</w:t>
            </w:r>
          </w:p>
        </w:tc>
      </w:tr>
      <w:tr>
        <w:trPr/>
        <w:tc>
          <w:tcPr>
            <w:tcW w:w="2361" w:type="dxa"/>
            <w:tcBorders>
              <w:left w:val="single" w:sz="6" w:space="0" w:color="000000"/>
              <w:bottom w:val="single" w:sz="6" w:space="0" w:color="CCCCCC"/>
            </w:tcBorders>
            <w:tcMar>
              <w:top w:w="72" w:type="dxa"/>
              <w:left w:w="480" w:type="dxa"/>
            </w:tcMar>
          </w:tcPr>
          <w:p>
            <w:pPr>
              <w:pStyle w:val="Normal"/>
              <w:widowControl/>
              <w:numPr>
                <w:ilvl w:val="0"/>
                <w:numId w:val="1"/>
              </w:numPr>
              <w:bidi w:val="0"/>
              <w:spacing w:lineRule="auto" w:line="259" w:before="0" w:after="160"/>
              <w:jc w:val="left"/>
              <w:rPr/>
            </w:pPr>
            <w:r>
              <w:rPr/>
              <w:t>Major sites of bleeding</w:t>
            </w:r>
          </w:p>
        </w:tc>
        <w:tc>
          <w:tcPr>
            <w:tcW w:w="4012" w:type="dxa"/>
            <w:tcBorders>
              <w:left w:val="single" w:sz="6" w:space="0" w:color="000000"/>
              <w:bottom w:val="single" w:sz="6" w:space="0" w:color="CCCCCC"/>
            </w:tcBorders>
            <w:tcMar>
              <w:top w:w="72" w:type="dxa"/>
            </w:tcMar>
          </w:tcPr>
          <w:p>
            <w:pPr>
              <w:pStyle w:val="Normal"/>
              <w:widowControl/>
              <w:numPr>
                <w:ilvl w:val="0"/>
                <w:numId w:val="1"/>
              </w:numPr>
              <w:bidi w:val="0"/>
              <w:spacing w:lineRule="auto" w:line="259" w:before="0" w:after="160"/>
              <w:jc w:val="left"/>
              <w:rPr/>
            </w:pPr>
            <w:r>
              <w:rPr/>
              <w:t>Mucocutaneous (eg, mouth, nose, gastrointestinal tract, urinary tract, menorrhagia)</w:t>
            </w:r>
          </w:p>
        </w:tc>
        <w:tc>
          <w:tcPr>
            <w:tcW w:w="2699" w:type="dxa"/>
            <w:tcBorders>
              <w:left w:val="single" w:sz="6" w:space="0" w:color="000000"/>
              <w:bottom w:val="single" w:sz="6" w:space="0" w:color="CCCCCC"/>
              <w:right w:val="single" w:sz="6" w:space="0" w:color="000000"/>
            </w:tcBorders>
            <w:tcMar>
              <w:top w:w="72" w:type="dxa"/>
            </w:tcMar>
          </w:tcPr>
          <w:p>
            <w:pPr>
              <w:pStyle w:val="Normal"/>
              <w:widowControl/>
              <w:numPr>
                <w:ilvl w:val="0"/>
                <w:numId w:val="1"/>
              </w:numPr>
              <w:bidi w:val="0"/>
              <w:spacing w:lineRule="auto" w:line="259" w:before="0" w:after="160"/>
              <w:jc w:val="left"/>
              <w:rPr/>
            </w:pPr>
            <w:r>
              <w:rPr/>
              <w:t>Deep tissue (eg, joints, muscles) or soft tissue hematomas</w:t>
            </w:r>
          </w:p>
        </w:tc>
      </w:tr>
      <w:tr>
        <w:trPr/>
        <w:tc>
          <w:tcPr>
            <w:tcW w:w="2361" w:type="dxa"/>
            <w:tcBorders>
              <w:left w:val="single" w:sz="6" w:space="0" w:color="000000"/>
              <w:bottom w:val="single" w:sz="6" w:space="0" w:color="CCCCCC"/>
            </w:tcBorders>
            <w:tcMar>
              <w:top w:w="72" w:type="dxa"/>
              <w:left w:w="480" w:type="dxa"/>
            </w:tcMar>
          </w:tcPr>
          <w:p>
            <w:pPr>
              <w:pStyle w:val="Normal"/>
              <w:widowControl/>
              <w:numPr>
                <w:ilvl w:val="0"/>
                <w:numId w:val="1"/>
              </w:numPr>
              <w:bidi w:val="0"/>
              <w:spacing w:lineRule="auto" w:line="259" w:before="0" w:after="160"/>
              <w:jc w:val="left"/>
              <w:rPr/>
            </w:pPr>
            <w:r>
              <w:rPr/>
              <w:t>Petechiae</w:t>
            </w:r>
          </w:p>
        </w:tc>
        <w:tc>
          <w:tcPr>
            <w:tcW w:w="4012" w:type="dxa"/>
            <w:tcBorders>
              <w:left w:val="single" w:sz="6" w:space="0" w:color="000000"/>
              <w:bottom w:val="single" w:sz="6" w:space="0" w:color="CCCCCC"/>
            </w:tcBorders>
            <w:tcMar>
              <w:top w:w="72" w:type="dxa"/>
            </w:tcMar>
          </w:tcPr>
          <w:p>
            <w:pPr>
              <w:pStyle w:val="Normal"/>
              <w:widowControl/>
              <w:numPr>
                <w:ilvl w:val="0"/>
                <w:numId w:val="1"/>
              </w:numPr>
              <w:bidi w:val="0"/>
              <w:spacing w:lineRule="auto" w:line="259" w:before="0" w:after="160"/>
              <w:jc w:val="left"/>
              <w:rPr/>
            </w:pPr>
            <w:r>
              <w:rPr/>
              <w:t>Common</w:t>
            </w:r>
          </w:p>
        </w:tc>
        <w:tc>
          <w:tcPr>
            <w:tcW w:w="2699" w:type="dxa"/>
            <w:tcBorders>
              <w:left w:val="single" w:sz="6" w:space="0" w:color="000000"/>
              <w:bottom w:val="single" w:sz="6" w:space="0" w:color="CCCCCC"/>
              <w:right w:val="single" w:sz="6" w:space="0" w:color="000000"/>
            </w:tcBorders>
            <w:tcMar>
              <w:top w:w="72" w:type="dxa"/>
            </w:tcMar>
          </w:tcPr>
          <w:p>
            <w:pPr>
              <w:pStyle w:val="Normal"/>
              <w:widowControl/>
              <w:numPr>
                <w:ilvl w:val="0"/>
                <w:numId w:val="1"/>
              </w:numPr>
              <w:bidi w:val="0"/>
              <w:spacing w:lineRule="auto" w:line="259" w:before="0" w:after="160"/>
              <w:jc w:val="left"/>
              <w:rPr/>
            </w:pPr>
            <w:r>
              <w:rPr/>
              <w:t>Uncommon</w:t>
            </w:r>
          </w:p>
        </w:tc>
      </w:tr>
      <w:tr>
        <w:trPr/>
        <w:tc>
          <w:tcPr>
            <w:tcW w:w="2361" w:type="dxa"/>
            <w:tcBorders>
              <w:left w:val="single" w:sz="6" w:space="0" w:color="000000"/>
              <w:bottom w:val="single" w:sz="6" w:space="0" w:color="CCCCCC"/>
            </w:tcBorders>
            <w:tcMar>
              <w:top w:w="72" w:type="dxa"/>
              <w:left w:w="480" w:type="dxa"/>
            </w:tcMar>
          </w:tcPr>
          <w:p>
            <w:pPr>
              <w:pStyle w:val="Normal"/>
              <w:widowControl/>
              <w:numPr>
                <w:ilvl w:val="0"/>
                <w:numId w:val="1"/>
              </w:numPr>
              <w:bidi w:val="0"/>
              <w:spacing w:lineRule="auto" w:line="259" w:before="0" w:after="160"/>
              <w:jc w:val="left"/>
              <w:rPr/>
            </w:pPr>
            <w:r>
              <w:rPr/>
              <w:t>Ecchymoses</w:t>
            </w:r>
          </w:p>
        </w:tc>
        <w:tc>
          <w:tcPr>
            <w:tcW w:w="4012" w:type="dxa"/>
            <w:tcBorders>
              <w:left w:val="single" w:sz="6" w:space="0" w:color="000000"/>
              <w:bottom w:val="single" w:sz="6" w:space="0" w:color="CCCCCC"/>
            </w:tcBorders>
            <w:tcMar>
              <w:top w:w="72" w:type="dxa"/>
            </w:tcMar>
          </w:tcPr>
          <w:p>
            <w:pPr>
              <w:pStyle w:val="Normal"/>
              <w:widowControl/>
              <w:numPr>
                <w:ilvl w:val="0"/>
                <w:numId w:val="1"/>
              </w:numPr>
              <w:bidi w:val="0"/>
              <w:spacing w:lineRule="auto" w:line="259" w:before="0" w:after="160"/>
              <w:jc w:val="left"/>
              <w:rPr/>
            </w:pPr>
            <w:r>
              <w:rPr/>
              <w:t>Generally small and superficial; may be significant, depending upon the degree of thrombocytopenia</w:t>
            </w:r>
          </w:p>
        </w:tc>
        <w:tc>
          <w:tcPr>
            <w:tcW w:w="2699" w:type="dxa"/>
            <w:tcBorders>
              <w:left w:val="single" w:sz="6" w:space="0" w:color="000000"/>
              <w:bottom w:val="single" w:sz="6" w:space="0" w:color="CCCCCC"/>
              <w:right w:val="single" w:sz="6" w:space="0" w:color="000000"/>
            </w:tcBorders>
            <w:tcMar>
              <w:top w:w="72" w:type="dxa"/>
            </w:tcMar>
          </w:tcPr>
          <w:p>
            <w:pPr>
              <w:pStyle w:val="Normal"/>
              <w:widowControl/>
              <w:numPr>
                <w:ilvl w:val="0"/>
                <w:numId w:val="1"/>
              </w:numPr>
              <w:bidi w:val="0"/>
              <w:spacing w:lineRule="auto" w:line="259" w:before="0" w:after="160"/>
              <w:jc w:val="left"/>
              <w:rPr/>
            </w:pPr>
            <w:r>
              <w:rPr/>
              <w:t>May develop large ecchymoses</w:t>
            </w:r>
          </w:p>
        </w:tc>
      </w:tr>
      <w:tr>
        <w:trPr/>
        <w:tc>
          <w:tcPr>
            <w:tcW w:w="2361" w:type="dxa"/>
            <w:tcBorders>
              <w:left w:val="single" w:sz="6" w:space="0" w:color="000000"/>
              <w:bottom w:val="single" w:sz="6" w:space="0" w:color="CCCCCC"/>
            </w:tcBorders>
            <w:tcMar>
              <w:top w:w="72" w:type="dxa"/>
              <w:left w:w="480" w:type="dxa"/>
            </w:tcMar>
          </w:tcPr>
          <w:p>
            <w:pPr>
              <w:pStyle w:val="Normal"/>
              <w:widowControl/>
              <w:numPr>
                <w:ilvl w:val="0"/>
                <w:numId w:val="1"/>
              </w:numPr>
              <w:bidi w:val="0"/>
              <w:spacing w:lineRule="auto" w:line="259" w:before="0" w:after="160"/>
              <w:jc w:val="left"/>
              <w:rPr/>
            </w:pPr>
            <w:r>
              <w:rPr/>
              <w:t>Excessive bleeding after minor cuts</w:t>
            </w:r>
          </w:p>
        </w:tc>
        <w:tc>
          <w:tcPr>
            <w:tcW w:w="4012" w:type="dxa"/>
            <w:tcBorders>
              <w:left w:val="single" w:sz="6" w:space="0" w:color="000000"/>
              <w:bottom w:val="single" w:sz="6" w:space="0" w:color="CCCCCC"/>
            </w:tcBorders>
            <w:tcMar>
              <w:top w:w="72" w:type="dxa"/>
            </w:tcMar>
          </w:tcPr>
          <w:p>
            <w:pPr>
              <w:pStyle w:val="Normal"/>
              <w:widowControl/>
              <w:numPr>
                <w:ilvl w:val="0"/>
                <w:numId w:val="1"/>
              </w:numPr>
              <w:bidi w:val="0"/>
              <w:spacing w:lineRule="auto" w:line="259" w:before="0" w:after="160"/>
              <w:jc w:val="left"/>
              <w:rPr/>
            </w:pPr>
            <w:r>
              <w:rPr/>
              <w:t>Yes</w:t>
            </w:r>
          </w:p>
        </w:tc>
        <w:tc>
          <w:tcPr>
            <w:tcW w:w="2699" w:type="dxa"/>
            <w:tcBorders>
              <w:left w:val="single" w:sz="6" w:space="0" w:color="000000"/>
              <w:bottom w:val="single" w:sz="6" w:space="0" w:color="CCCCCC"/>
              <w:right w:val="single" w:sz="6" w:space="0" w:color="000000"/>
            </w:tcBorders>
            <w:tcMar>
              <w:top w:w="72" w:type="dxa"/>
            </w:tcMar>
          </w:tcPr>
          <w:p>
            <w:pPr>
              <w:pStyle w:val="Normal"/>
              <w:widowControl/>
              <w:numPr>
                <w:ilvl w:val="0"/>
                <w:numId w:val="1"/>
              </w:numPr>
              <w:bidi w:val="0"/>
              <w:spacing w:lineRule="auto" w:line="259" w:before="0" w:after="160"/>
              <w:jc w:val="left"/>
              <w:rPr/>
            </w:pPr>
            <w:r>
              <w:rPr/>
              <w:t>Not usually</w:t>
            </w:r>
          </w:p>
        </w:tc>
      </w:tr>
      <w:tr>
        <w:trPr/>
        <w:tc>
          <w:tcPr>
            <w:tcW w:w="2361" w:type="dxa"/>
            <w:tcBorders>
              <w:left w:val="single" w:sz="6" w:space="0" w:color="000000"/>
              <w:bottom w:val="single" w:sz="6" w:space="0" w:color="CCCCCC"/>
            </w:tcBorders>
            <w:tcMar>
              <w:top w:w="72" w:type="dxa"/>
              <w:left w:w="480" w:type="dxa"/>
            </w:tcMar>
          </w:tcPr>
          <w:p>
            <w:pPr>
              <w:pStyle w:val="Normal"/>
              <w:widowControl/>
              <w:numPr>
                <w:ilvl w:val="0"/>
                <w:numId w:val="1"/>
              </w:numPr>
              <w:bidi w:val="0"/>
              <w:spacing w:lineRule="auto" w:line="259" w:before="0" w:after="160"/>
              <w:jc w:val="left"/>
              <w:rPr/>
            </w:pPr>
            <w:r>
              <w:rPr/>
              <w:t>Excessive bleeding with surgery or invasive procedures</w:t>
            </w:r>
          </w:p>
        </w:tc>
        <w:tc>
          <w:tcPr>
            <w:tcW w:w="4012" w:type="dxa"/>
            <w:tcBorders>
              <w:left w:val="single" w:sz="6" w:space="0" w:color="000000"/>
              <w:bottom w:val="single" w:sz="6" w:space="0" w:color="CCCCCC"/>
            </w:tcBorders>
            <w:tcMar>
              <w:top w:w="72" w:type="dxa"/>
            </w:tcMar>
          </w:tcPr>
          <w:p>
            <w:pPr>
              <w:pStyle w:val="Normal"/>
              <w:widowControl/>
              <w:numPr>
                <w:ilvl w:val="0"/>
                <w:numId w:val="1"/>
              </w:numPr>
              <w:bidi w:val="0"/>
              <w:spacing w:lineRule="auto" w:line="259" w:before="0" w:after="160"/>
              <w:jc w:val="left"/>
              <w:rPr/>
            </w:pPr>
            <w:r>
              <w:rPr/>
              <w:t>Often immediate; degree varies with severity of the defect (eg, no excess bleeding with mild thrombocytopenia, severe bleeding with certain platelet function defects such as GT)</w:t>
            </w:r>
          </w:p>
        </w:tc>
        <w:tc>
          <w:tcPr>
            <w:tcW w:w="2699" w:type="dxa"/>
            <w:tcBorders>
              <w:left w:val="single" w:sz="6" w:space="0" w:color="000000"/>
              <w:bottom w:val="single" w:sz="6" w:space="0" w:color="CCCCCC"/>
              <w:right w:val="single" w:sz="6" w:space="0" w:color="000000"/>
            </w:tcBorders>
            <w:tcMar>
              <w:top w:w="72" w:type="dxa"/>
            </w:tcMar>
          </w:tcPr>
          <w:p>
            <w:pPr>
              <w:pStyle w:val="Normal"/>
              <w:widowControl/>
              <w:numPr>
                <w:ilvl w:val="0"/>
                <w:numId w:val="1"/>
              </w:numPr>
              <w:bidi w:val="0"/>
              <w:spacing w:lineRule="auto" w:line="259" w:before="0" w:after="160"/>
              <w:jc w:val="left"/>
              <w:rPr/>
            </w:pPr>
            <w:r>
              <w:rPr/>
              <w:t>Often during the procedure. Some individuals may experience delayed bleeding (eg, those with factor XIII deficiency).</w:t>
            </w:r>
          </w:p>
        </w:tc>
      </w:tr>
    </w:tbl>
    <w:p>
      <w:pPr>
        <w:pStyle w:val="Normal"/>
        <w:numPr>
          <w:ilvl w:val="0"/>
          <w:numId w:val="1"/>
        </w:numPr>
        <w:rPr/>
      </w:pPr>
      <w:r>
        <w:rPr/>
        <w:t>Individuals with mild disorders may not report significant bleeding. Refer to UpToDate for details of the evaluation of a suspected bleeding disorder.</w:t>
      </w:r>
    </w:p>
    <w:p>
      <w:pPr>
        <w:pStyle w:val="Normal"/>
        <w:numPr>
          <w:ilvl w:val="0"/>
          <w:numId w:val="1"/>
        </w:numPr>
        <w:rPr/>
      </w:pPr>
      <w:r>
        <w:rPr/>
        <w:t>GT: Glanzmann thrombasthenia.</w:t>
      </w:r>
    </w:p>
    <w:p>
      <w:pPr>
        <w:pStyle w:val="Normal"/>
        <w:numPr>
          <w:ilvl w:val="0"/>
          <w:numId w:val="1"/>
        </w:numPr>
        <w:rPr/>
      </w:pPr>
      <w:r>
        <w:rPr/>
      </w:r>
    </w:p>
    <w:p>
      <w:pPr>
        <w:pStyle w:val="Normal"/>
        <w:numPr>
          <w:ilvl w:val="0"/>
          <w:numId w:val="1"/>
        </w:numPr>
        <w:rPr/>
      </w:pPr>
      <w:r>
        <w:rPr/>
        <w:drawing>
          <wp:inline distT="0" distB="0" distL="0" distR="0">
            <wp:extent cx="4457700" cy="3352800"/>
            <wp:effectExtent l="0" t="0" r="0" b="0"/>
            <wp:docPr id="1" name="Afbeelding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5" descr="Image"/>
                    <pic:cNvPicPr>
                      <a:picLocks noChangeAspect="1" noChangeArrowheads="1"/>
                    </pic:cNvPicPr>
                  </pic:nvPicPr>
                  <pic:blipFill>
                    <a:blip r:embed="rId9"/>
                    <a:stretch>
                      <a:fillRect/>
                    </a:stretch>
                  </pic:blipFill>
                  <pic:spPr bwMode="auto">
                    <a:xfrm>
                      <a:off x="0" y="0"/>
                      <a:ext cx="4457700" cy="3352800"/>
                    </a:xfrm>
                    <a:prstGeom prst="rect">
                      <a:avLst/>
                    </a:prstGeom>
                  </pic:spPr>
                </pic:pic>
              </a:graphicData>
            </a:graphic>
          </wp:inline>
        </w:drawing>
      </w:r>
    </w:p>
    <w:p>
      <w:pPr>
        <w:pStyle w:val="Normal"/>
        <w:numPr>
          <w:ilvl w:val="0"/>
          <w:numId w:val="1"/>
        </w:numPr>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ptodate.com/contents/approach-to-the-adult-with-unexplained-thrombocytopenia/abstract/25,26" TargetMode="External"/><Relationship Id="rId3" Type="http://schemas.openxmlformats.org/officeDocument/2006/relationships/hyperlink" Target="https://www.uptodate.com/contents/approach-to-the-adult-with-unexplained-thrombocytopenia/abstract/27,28" TargetMode="External"/><Relationship Id="rId4" Type="http://schemas.openxmlformats.org/officeDocument/2006/relationships/hyperlink" Target="https://www.uptodate.com/contents/cyanocobalamin-vitamin-b12-drug-information?search=thrombopenia&amp;topicRef=6680&amp;source=see_link" TargetMode="External"/><Relationship Id="rId5" Type="http://schemas.openxmlformats.org/officeDocument/2006/relationships/hyperlink" Target="https://www.uptodate.com/contents/cyanocobalamin-vitamin-b12-drug-information?search=thrombopenia&amp;topicRef=6680&amp;source=see_link" TargetMode="External"/><Relationship Id="rId6" Type="http://schemas.openxmlformats.org/officeDocument/2006/relationships/hyperlink" Target="https://www.uptodate.com/contents/image?imageKey=HEME%2F58104&amp;topicKey=HEME%2F6680&amp;search=thrombopenia&amp;rank=1~150&amp;source=see_link" TargetMode="External"/><Relationship Id="rId7" Type="http://schemas.openxmlformats.org/officeDocument/2006/relationships/hyperlink" Target="https://www.uptodate.com/contents/image?imageKey=HEME%2F73618&amp;topicKey=HEME%2F6680&amp;search=thrombopenia&amp;rank=1~150&amp;source=see_link" TargetMode="External"/><Relationship Id="rId8" Type="http://schemas.openxmlformats.org/officeDocument/2006/relationships/hyperlink" Target="https://www.uptodate.com/contents/image?imageKey=HEME%2F60296&amp;topicKey=HEME%2F6680&amp;search=thrombopenia&amp;rank=1~150&amp;source=see_link" TargetMode="External"/><Relationship Id="rId9" Type="http://schemas.openxmlformats.org/officeDocument/2006/relationships/image" Target="media/image1.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LibreOffice/6.4.5.2$Linux_X86_64 LibreOffice_project/40$Build-2</Application>
  <Pages>11</Pages>
  <Words>1543</Words>
  <Characters>9713</Characters>
  <CharactersWithSpaces>10855</CharactersWithSpaces>
  <Paragraphs>236</Paragraphs>
  <Company>Flevoziekenhuis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2020-10-13T15:50:00Z</dcterms:created>
  <dc:creator>Heer, Koen de</dc:creator>
  <dc:description/>
  <dc:language>en-US</dc:language>
  <cp:lastModifiedBy/>
  <dcterms:modified xsi:type="dcterms:W3CDTF">2020-10-15T23:43:05Z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Flevoziekenhuis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